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40A78" w14:textId="2186D00E" w:rsidR="00333244" w:rsidRPr="00D87F08" w:rsidRDefault="00A35B9D" w:rsidP="00D87F08">
      <w:pPr>
        <w:rPr>
          <w:rFonts w:cstheme="minorHAnsi"/>
          <w:b/>
          <w:sz w:val="24"/>
          <w:szCs w:val="24"/>
        </w:rPr>
      </w:pPr>
      <w:r w:rsidRPr="00A35B9D">
        <w:rPr>
          <w:b/>
        </w:rPr>
        <w:t>PRILOG I</w:t>
      </w:r>
      <w:r w:rsidR="00D87F08">
        <w:rPr>
          <w:b/>
        </w:rPr>
        <w:t>X</w:t>
      </w:r>
    </w:p>
    <w:p w14:paraId="118491EB" w14:textId="45DA7C9A" w:rsidR="00A35B9D" w:rsidRPr="00D87F08" w:rsidRDefault="00A35B9D" w:rsidP="00D87F08">
      <w:pPr>
        <w:jc w:val="center"/>
        <w:rPr>
          <w:rFonts w:cstheme="minorHAnsi"/>
          <w:b/>
          <w:sz w:val="24"/>
          <w:szCs w:val="24"/>
        </w:rPr>
      </w:pPr>
      <w:r w:rsidRPr="00D87F08">
        <w:rPr>
          <w:rFonts w:cstheme="minorHAnsi"/>
          <w:b/>
          <w:sz w:val="24"/>
          <w:szCs w:val="24"/>
        </w:rPr>
        <w:t>POJAŠNJENJE KRITERIJA ODABIRA PROJEKATA</w:t>
      </w:r>
      <w:r w:rsidR="00D87F08">
        <w:rPr>
          <w:rFonts w:cstheme="minorHAnsi"/>
          <w:b/>
          <w:sz w:val="24"/>
          <w:szCs w:val="24"/>
        </w:rPr>
        <w:t xml:space="preserve"> ZA</w:t>
      </w:r>
    </w:p>
    <w:p w14:paraId="3C315C27" w14:textId="77777777" w:rsidR="00D87F08" w:rsidRPr="00D87F08" w:rsidRDefault="00D87F08" w:rsidP="00D87F08">
      <w:pPr>
        <w:jc w:val="center"/>
        <w:rPr>
          <w:rFonts w:eastAsia="Times New Roman" w:cstheme="minorHAnsi"/>
          <w:b/>
          <w:color w:val="000000"/>
          <w:sz w:val="24"/>
          <w:szCs w:val="24"/>
        </w:rPr>
      </w:pPr>
      <w:r w:rsidRPr="00D87F08">
        <w:rPr>
          <w:rFonts w:cstheme="minorHAnsi"/>
          <w:b/>
          <w:sz w:val="24"/>
          <w:szCs w:val="24"/>
        </w:rPr>
        <w:t>TIP OPERACIJE 2.2.1. „ULAGANJE U POKRETANJE, POBOLJŠANJE ILI PROŠIRENJE LOKALNIH TEMELJNIH USLUGA ZA RURALNO STANOVNIŠTVO, UKLJUČUJUĆI SLOBODNO VRIJEME I KULTURNE AKTIVNOSTI TE POVEZANU INFRASTRUKTURU“</w:t>
      </w:r>
    </w:p>
    <w:p w14:paraId="6768B205" w14:textId="77777777" w:rsidR="00A35B9D" w:rsidRDefault="00A35B9D" w:rsidP="00A35B9D">
      <w:pPr>
        <w:jc w:val="both"/>
        <w:rPr>
          <w:b/>
        </w:rPr>
      </w:pPr>
    </w:p>
    <w:p w14:paraId="368253B1" w14:textId="77777777" w:rsidR="004536FF" w:rsidRDefault="0028644D" w:rsidP="00A35B9D">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14:paraId="40D17A07" w14:textId="77777777" w:rsidR="003A25B9" w:rsidRDefault="00877C99" w:rsidP="00A35B9D">
      <w:pPr>
        <w:jc w:val="both"/>
        <w:rPr>
          <w:b/>
        </w:rPr>
      </w:pPr>
      <w:r>
        <w:rPr>
          <w:b/>
        </w:rPr>
        <w:t>Tablica 1. Kriteriji bodovanja projekata</w:t>
      </w:r>
    </w:p>
    <w:tbl>
      <w:tblPr>
        <w:tblStyle w:val="Reetkatablice"/>
        <w:tblW w:w="9461" w:type="dxa"/>
        <w:tblLayout w:type="fixed"/>
        <w:tblLook w:val="04A0" w:firstRow="1" w:lastRow="0" w:firstColumn="1" w:lastColumn="0" w:noHBand="0" w:noVBand="1"/>
      </w:tblPr>
      <w:tblGrid>
        <w:gridCol w:w="822"/>
        <w:gridCol w:w="7460"/>
        <w:gridCol w:w="1179"/>
      </w:tblGrid>
      <w:tr w:rsidR="00440413" w:rsidRPr="000C5056" w14:paraId="274FE584" w14:textId="77777777" w:rsidTr="00D87F08">
        <w:trPr>
          <w:trHeight w:val="256"/>
        </w:trPr>
        <w:tc>
          <w:tcPr>
            <w:tcW w:w="9461" w:type="dxa"/>
            <w:gridSpan w:val="3"/>
            <w:shd w:val="clear" w:color="auto" w:fill="C5E0B3" w:themeFill="accent6" w:themeFillTint="66"/>
          </w:tcPr>
          <w:p w14:paraId="3F433862" w14:textId="77777777" w:rsidR="00440413" w:rsidRDefault="00440413" w:rsidP="005C5187">
            <w:pPr>
              <w:jc w:val="center"/>
              <w:rPr>
                <w:b/>
              </w:rPr>
            </w:pPr>
          </w:p>
          <w:p w14:paraId="10D6D947" w14:textId="77777777" w:rsidR="00440413" w:rsidRDefault="00440413" w:rsidP="005C5187">
            <w:pPr>
              <w:jc w:val="center"/>
              <w:rPr>
                <w:b/>
              </w:rPr>
            </w:pPr>
            <w:r w:rsidRPr="000C5056">
              <w:rPr>
                <w:b/>
              </w:rPr>
              <w:t xml:space="preserve">KRITERIJI ODABIRA </w:t>
            </w:r>
          </w:p>
          <w:p w14:paraId="1D5A2BD2" w14:textId="77777777" w:rsidR="00440413" w:rsidRPr="000C5056" w:rsidRDefault="00440413" w:rsidP="005C5187">
            <w:pPr>
              <w:jc w:val="center"/>
              <w:rPr>
                <w:b/>
              </w:rPr>
            </w:pPr>
          </w:p>
        </w:tc>
      </w:tr>
      <w:tr w:rsidR="00440413" w:rsidRPr="00AC7DC4" w14:paraId="2BDA0B73" w14:textId="77777777" w:rsidTr="00D87F08">
        <w:trPr>
          <w:trHeight w:val="256"/>
        </w:trPr>
        <w:tc>
          <w:tcPr>
            <w:tcW w:w="822" w:type="dxa"/>
            <w:shd w:val="clear" w:color="auto" w:fill="538135" w:themeFill="accent6" w:themeFillShade="BF"/>
          </w:tcPr>
          <w:p w14:paraId="3F24C4B5" w14:textId="77777777" w:rsidR="00440413" w:rsidRPr="00AC7DC4" w:rsidRDefault="00440413" w:rsidP="005C5187">
            <w:pPr>
              <w:jc w:val="center"/>
              <w:rPr>
                <w:b/>
                <w:bCs/>
              </w:rPr>
            </w:pPr>
            <w:proofErr w:type="spellStart"/>
            <w:r w:rsidRPr="00AC7DC4">
              <w:rPr>
                <w:b/>
                <w:bCs/>
              </w:rPr>
              <w:t>Broj</w:t>
            </w:r>
            <w:proofErr w:type="spellEnd"/>
          </w:p>
        </w:tc>
        <w:tc>
          <w:tcPr>
            <w:tcW w:w="7460" w:type="dxa"/>
            <w:shd w:val="clear" w:color="auto" w:fill="538135" w:themeFill="accent6" w:themeFillShade="BF"/>
          </w:tcPr>
          <w:p w14:paraId="009B1FBC" w14:textId="77777777" w:rsidR="00440413" w:rsidRPr="00AC7DC4" w:rsidRDefault="00440413" w:rsidP="005C5187">
            <w:pPr>
              <w:ind w:left="92"/>
              <w:jc w:val="center"/>
              <w:rPr>
                <w:b/>
                <w:bCs/>
                <w:color w:val="000000"/>
                <w:lang w:eastAsia="hr-HR"/>
              </w:rPr>
            </w:pPr>
            <w:r w:rsidRPr="00AC7DC4">
              <w:rPr>
                <w:b/>
                <w:bCs/>
                <w:color w:val="000000"/>
                <w:lang w:eastAsia="hr-HR"/>
              </w:rPr>
              <w:t xml:space="preserve">Naziv </w:t>
            </w:r>
            <w:proofErr w:type="spellStart"/>
            <w:r w:rsidRPr="00AC7DC4">
              <w:rPr>
                <w:b/>
                <w:bCs/>
                <w:color w:val="000000"/>
                <w:lang w:eastAsia="hr-HR"/>
              </w:rPr>
              <w:t>kriterija</w:t>
            </w:r>
            <w:proofErr w:type="spellEnd"/>
          </w:p>
        </w:tc>
        <w:tc>
          <w:tcPr>
            <w:tcW w:w="1178" w:type="dxa"/>
            <w:shd w:val="clear" w:color="auto" w:fill="538135" w:themeFill="accent6" w:themeFillShade="BF"/>
          </w:tcPr>
          <w:p w14:paraId="5A1D29D1" w14:textId="77777777" w:rsidR="00440413" w:rsidRPr="00AC7DC4" w:rsidRDefault="00440413" w:rsidP="005C5187">
            <w:pPr>
              <w:ind w:left="92"/>
              <w:jc w:val="center"/>
              <w:rPr>
                <w:b/>
                <w:bCs/>
              </w:rPr>
            </w:pPr>
            <w:proofErr w:type="spellStart"/>
            <w:r w:rsidRPr="00AC7DC4">
              <w:rPr>
                <w:b/>
                <w:bCs/>
              </w:rPr>
              <w:t>Bodovi</w:t>
            </w:r>
            <w:proofErr w:type="spellEnd"/>
          </w:p>
        </w:tc>
      </w:tr>
      <w:tr w:rsidR="00440413" w:rsidRPr="000C5056" w14:paraId="2589938F" w14:textId="77777777" w:rsidTr="00D87F08">
        <w:trPr>
          <w:trHeight w:val="256"/>
        </w:trPr>
        <w:tc>
          <w:tcPr>
            <w:tcW w:w="822" w:type="dxa"/>
            <w:shd w:val="clear" w:color="auto" w:fill="A8D08D" w:themeFill="accent6" w:themeFillTint="99"/>
          </w:tcPr>
          <w:p w14:paraId="66F5F585" w14:textId="77777777" w:rsidR="00440413" w:rsidRDefault="00440413" w:rsidP="005C5187"/>
          <w:p w14:paraId="04D8D8BF" w14:textId="77777777" w:rsidR="00440413" w:rsidRPr="000C5056" w:rsidRDefault="00440413" w:rsidP="005C5187">
            <w:pPr>
              <w:jc w:val="center"/>
              <w:rPr>
                <w:b/>
              </w:rPr>
            </w:pPr>
            <w:r>
              <w:t>1.</w:t>
            </w:r>
          </w:p>
        </w:tc>
        <w:tc>
          <w:tcPr>
            <w:tcW w:w="7460" w:type="dxa"/>
            <w:shd w:val="clear" w:color="auto" w:fill="A8D08D" w:themeFill="accent6" w:themeFillTint="99"/>
          </w:tcPr>
          <w:p w14:paraId="0DFFBA4F" w14:textId="77777777" w:rsidR="00440413" w:rsidRPr="000C5056" w:rsidRDefault="00440413" w:rsidP="005C5187">
            <w:pPr>
              <w:ind w:left="92"/>
              <w:rPr>
                <w:b/>
              </w:rPr>
            </w:pPr>
            <w:proofErr w:type="spellStart"/>
            <w:r w:rsidRPr="000C5056">
              <w:rPr>
                <w:b/>
                <w:bCs/>
                <w:color w:val="000000"/>
                <w:lang w:eastAsia="hr-HR"/>
              </w:rPr>
              <w:t>Usklađenost</w:t>
            </w:r>
            <w:proofErr w:type="spellEnd"/>
            <w:r w:rsidRPr="000C5056">
              <w:rPr>
                <w:b/>
                <w:bCs/>
                <w:color w:val="000000"/>
                <w:lang w:eastAsia="hr-HR"/>
              </w:rPr>
              <w:t xml:space="preserve"> </w:t>
            </w:r>
            <w:proofErr w:type="spellStart"/>
            <w:r w:rsidRPr="000C5056">
              <w:rPr>
                <w:b/>
                <w:bCs/>
                <w:color w:val="000000"/>
                <w:lang w:eastAsia="hr-HR"/>
              </w:rPr>
              <w:t>projekta</w:t>
            </w:r>
            <w:proofErr w:type="spellEnd"/>
            <w:r w:rsidRPr="000C5056">
              <w:rPr>
                <w:b/>
                <w:bCs/>
                <w:color w:val="000000"/>
                <w:lang w:eastAsia="hr-HR"/>
              </w:rPr>
              <w:t xml:space="preserve"> s </w:t>
            </w:r>
            <w:proofErr w:type="spellStart"/>
            <w:r w:rsidRPr="000C5056">
              <w:rPr>
                <w:b/>
                <w:bCs/>
                <w:color w:val="000000"/>
                <w:lang w:eastAsia="hr-HR"/>
              </w:rPr>
              <w:t>Programom</w:t>
            </w:r>
            <w:proofErr w:type="spellEnd"/>
            <w:r w:rsidRPr="000C5056">
              <w:rPr>
                <w:b/>
                <w:bCs/>
                <w:color w:val="000000"/>
                <w:lang w:eastAsia="hr-HR"/>
              </w:rPr>
              <w:t xml:space="preserve"> </w:t>
            </w:r>
            <w:proofErr w:type="spellStart"/>
            <w:r w:rsidRPr="000C5056">
              <w:rPr>
                <w:b/>
                <w:bCs/>
                <w:color w:val="000000"/>
                <w:lang w:eastAsia="hr-HR"/>
              </w:rPr>
              <w:t>ruralnog</w:t>
            </w:r>
            <w:proofErr w:type="spellEnd"/>
            <w:r w:rsidRPr="000C5056">
              <w:rPr>
                <w:b/>
                <w:bCs/>
                <w:color w:val="000000"/>
                <w:lang w:eastAsia="hr-HR"/>
              </w:rPr>
              <w:t xml:space="preserve"> </w:t>
            </w:r>
            <w:proofErr w:type="spellStart"/>
            <w:r w:rsidRPr="000C5056">
              <w:rPr>
                <w:b/>
                <w:bCs/>
                <w:color w:val="000000"/>
                <w:lang w:eastAsia="hr-HR"/>
              </w:rPr>
              <w:t>razvoja</w:t>
            </w:r>
            <w:proofErr w:type="spellEnd"/>
            <w:r w:rsidRPr="000C5056">
              <w:rPr>
                <w:b/>
                <w:bCs/>
                <w:color w:val="000000"/>
                <w:lang w:eastAsia="hr-HR"/>
              </w:rPr>
              <w:t xml:space="preserve"> RH i LRS LAG-a Vuka-</w:t>
            </w:r>
            <w:proofErr w:type="spellStart"/>
            <w:r w:rsidRPr="000C5056">
              <w:rPr>
                <w:b/>
                <w:bCs/>
                <w:color w:val="000000"/>
                <w:lang w:eastAsia="hr-HR"/>
              </w:rPr>
              <w:t>Dunav</w:t>
            </w:r>
            <w:proofErr w:type="spellEnd"/>
          </w:p>
        </w:tc>
        <w:tc>
          <w:tcPr>
            <w:tcW w:w="1178" w:type="dxa"/>
            <w:shd w:val="clear" w:color="auto" w:fill="A8D08D" w:themeFill="accent6" w:themeFillTint="99"/>
          </w:tcPr>
          <w:p w14:paraId="269B0E8A" w14:textId="77777777" w:rsidR="00440413" w:rsidRPr="000C5056" w:rsidRDefault="00440413" w:rsidP="005C5187">
            <w:pPr>
              <w:ind w:left="92"/>
              <w:jc w:val="center"/>
              <w:rPr>
                <w:b/>
              </w:rPr>
            </w:pPr>
            <w:r>
              <w:rPr>
                <w:b/>
              </w:rPr>
              <w:t>Max. 15</w:t>
            </w:r>
          </w:p>
        </w:tc>
      </w:tr>
      <w:tr w:rsidR="00440413" w:rsidRPr="000C5056" w14:paraId="1E8885B2" w14:textId="77777777" w:rsidTr="005C5187">
        <w:trPr>
          <w:trHeight w:val="318"/>
        </w:trPr>
        <w:tc>
          <w:tcPr>
            <w:tcW w:w="822" w:type="dxa"/>
            <w:shd w:val="clear" w:color="auto" w:fill="FFFFFF" w:themeFill="background1"/>
            <w:vAlign w:val="center"/>
          </w:tcPr>
          <w:p w14:paraId="29EE9D1B" w14:textId="77777777" w:rsidR="00440413" w:rsidRPr="000C5056" w:rsidRDefault="00440413" w:rsidP="005C5187"/>
        </w:tc>
        <w:tc>
          <w:tcPr>
            <w:tcW w:w="7460" w:type="dxa"/>
            <w:shd w:val="clear" w:color="auto" w:fill="FFFFFF" w:themeFill="background1"/>
            <w:vAlign w:val="center"/>
          </w:tcPr>
          <w:p w14:paraId="420DEB93" w14:textId="77777777" w:rsidR="00440413" w:rsidRPr="000C5056" w:rsidRDefault="00440413" w:rsidP="005C5187">
            <w:r w:rsidRPr="000C5056">
              <w:t xml:space="preserve">Projekt je u </w:t>
            </w:r>
            <w:proofErr w:type="spellStart"/>
            <w:r w:rsidRPr="000C5056">
              <w:t>skladu</w:t>
            </w:r>
            <w:proofErr w:type="spellEnd"/>
            <w:r w:rsidRPr="000C5056">
              <w:t xml:space="preserve"> s </w:t>
            </w:r>
            <w:proofErr w:type="spellStart"/>
            <w:r w:rsidRPr="000C5056">
              <w:t>Programom</w:t>
            </w:r>
            <w:proofErr w:type="spellEnd"/>
            <w:r w:rsidRPr="000C5056">
              <w:t xml:space="preserve"> </w:t>
            </w:r>
            <w:proofErr w:type="spellStart"/>
            <w:r w:rsidRPr="000C5056">
              <w:t>ruralnog</w:t>
            </w:r>
            <w:proofErr w:type="spellEnd"/>
            <w:r w:rsidRPr="000C5056">
              <w:t xml:space="preserve"> </w:t>
            </w:r>
            <w:proofErr w:type="spellStart"/>
            <w:r w:rsidRPr="000C5056">
              <w:t>razvoja</w:t>
            </w:r>
            <w:proofErr w:type="spellEnd"/>
            <w:r w:rsidRPr="000C5056">
              <w:t xml:space="preserve"> i s LRS LAG-a Vuka - </w:t>
            </w:r>
            <w:proofErr w:type="spellStart"/>
            <w:r w:rsidRPr="000C5056">
              <w:t>Dunav</w:t>
            </w:r>
            <w:proofErr w:type="spellEnd"/>
          </w:p>
        </w:tc>
        <w:tc>
          <w:tcPr>
            <w:tcW w:w="1178" w:type="dxa"/>
            <w:shd w:val="clear" w:color="auto" w:fill="FFFFFF" w:themeFill="background1"/>
            <w:vAlign w:val="center"/>
          </w:tcPr>
          <w:p w14:paraId="2B134D48" w14:textId="77777777" w:rsidR="00440413" w:rsidRPr="000C5056" w:rsidRDefault="00440413" w:rsidP="005C5187">
            <w:pPr>
              <w:jc w:val="center"/>
            </w:pPr>
            <w:r w:rsidRPr="000C5056">
              <w:t>15</w:t>
            </w:r>
          </w:p>
        </w:tc>
      </w:tr>
      <w:tr w:rsidR="00440413" w:rsidRPr="000C5056" w14:paraId="7F072FDD" w14:textId="77777777" w:rsidTr="00D87F08">
        <w:trPr>
          <w:trHeight w:val="318"/>
        </w:trPr>
        <w:tc>
          <w:tcPr>
            <w:tcW w:w="822" w:type="dxa"/>
            <w:shd w:val="clear" w:color="auto" w:fill="A8D08D" w:themeFill="accent6" w:themeFillTint="99"/>
            <w:vAlign w:val="center"/>
          </w:tcPr>
          <w:p w14:paraId="767DBC87" w14:textId="77777777" w:rsidR="00440413" w:rsidRPr="000C5056" w:rsidRDefault="00440413" w:rsidP="005C5187">
            <w:pPr>
              <w:jc w:val="center"/>
            </w:pPr>
            <w:r>
              <w:t>2.</w:t>
            </w:r>
          </w:p>
        </w:tc>
        <w:tc>
          <w:tcPr>
            <w:tcW w:w="7460" w:type="dxa"/>
            <w:shd w:val="clear" w:color="auto" w:fill="A8D08D" w:themeFill="accent6" w:themeFillTint="99"/>
            <w:vAlign w:val="center"/>
          </w:tcPr>
          <w:p w14:paraId="50B67017" w14:textId="77777777" w:rsidR="00440413" w:rsidRPr="000C5056" w:rsidRDefault="00440413" w:rsidP="005C5187">
            <w:pPr>
              <w:rPr>
                <w:b/>
              </w:rPr>
            </w:pPr>
            <w:proofErr w:type="spellStart"/>
            <w:r w:rsidRPr="000C5056">
              <w:rPr>
                <w:b/>
              </w:rPr>
              <w:t>Doprinos</w:t>
            </w:r>
            <w:proofErr w:type="spellEnd"/>
            <w:r w:rsidRPr="000C5056">
              <w:rPr>
                <w:b/>
              </w:rPr>
              <w:t xml:space="preserve"> </w:t>
            </w:r>
            <w:proofErr w:type="spellStart"/>
            <w:r w:rsidRPr="000C5056">
              <w:rPr>
                <w:b/>
              </w:rPr>
              <w:t>zapošljavanju</w:t>
            </w:r>
            <w:proofErr w:type="spellEnd"/>
          </w:p>
        </w:tc>
        <w:tc>
          <w:tcPr>
            <w:tcW w:w="1178" w:type="dxa"/>
            <w:shd w:val="clear" w:color="auto" w:fill="A8D08D" w:themeFill="accent6" w:themeFillTint="99"/>
            <w:vAlign w:val="center"/>
          </w:tcPr>
          <w:p w14:paraId="01F715AD" w14:textId="77777777" w:rsidR="00440413" w:rsidRPr="000C5056" w:rsidRDefault="00440413" w:rsidP="005C5187">
            <w:pPr>
              <w:jc w:val="center"/>
              <w:rPr>
                <w:b/>
              </w:rPr>
            </w:pPr>
            <w:r>
              <w:rPr>
                <w:b/>
              </w:rPr>
              <w:t>Max. 5</w:t>
            </w:r>
          </w:p>
        </w:tc>
      </w:tr>
      <w:tr w:rsidR="00440413" w:rsidRPr="000C5056" w14:paraId="12760012" w14:textId="77777777" w:rsidTr="005C5187">
        <w:trPr>
          <w:trHeight w:val="372"/>
        </w:trPr>
        <w:tc>
          <w:tcPr>
            <w:tcW w:w="822" w:type="dxa"/>
            <w:shd w:val="clear" w:color="auto" w:fill="FFFFFF" w:themeFill="background1"/>
            <w:vAlign w:val="center"/>
          </w:tcPr>
          <w:p w14:paraId="51C41CF5" w14:textId="77777777" w:rsidR="00440413" w:rsidRPr="000C5056" w:rsidRDefault="00440413" w:rsidP="005C5187"/>
        </w:tc>
        <w:tc>
          <w:tcPr>
            <w:tcW w:w="7460" w:type="dxa"/>
            <w:shd w:val="clear" w:color="auto" w:fill="FFFFFF" w:themeFill="background1"/>
            <w:vAlign w:val="center"/>
          </w:tcPr>
          <w:p w14:paraId="6B97D485" w14:textId="77777777" w:rsidR="00440413" w:rsidRPr="000C5056" w:rsidRDefault="00440413" w:rsidP="005C5187">
            <w:proofErr w:type="spellStart"/>
            <w:r w:rsidRPr="000C5056">
              <w:t>Otvaranje</w:t>
            </w:r>
            <w:proofErr w:type="spellEnd"/>
            <w:r w:rsidRPr="000C5056">
              <w:t xml:space="preserve"> </w:t>
            </w:r>
            <w:proofErr w:type="spellStart"/>
            <w:r w:rsidRPr="000C5056">
              <w:t>minimalno</w:t>
            </w:r>
            <w:proofErr w:type="spellEnd"/>
            <w:r w:rsidRPr="000C5056">
              <w:t xml:space="preserve"> </w:t>
            </w:r>
            <w:proofErr w:type="spellStart"/>
            <w:r w:rsidRPr="000C5056">
              <w:t>jednog</w:t>
            </w:r>
            <w:proofErr w:type="spellEnd"/>
            <w:r w:rsidRPr="000C5056">
              <w:t xml:space="preserve"> </w:t>
            </w:r>
            <w:proofErr w:type="spellStart"/>
            <w:r w:rsidRPr="000C5056">
              <w:t>radnog</w:t>
            </w:r>
            <w:proofErr w:type="spellEnd"/>
            <w:r w:rsidRPr="000C5056">
              <w:t xml:space="preserve"> </w:t>
            </w:r>
            <w:proofErr w:type="spellStart"/>
            <w:r w:rsidRPr="000C5056">
              <w:t>mjesta</w:t>
            </w:r>
            <w:proofErr w:type="spellEnd"/>
          </w:p>
        </w:tc>
        <w:tc>
          <w:tcPr>
            <w:tcW w:w="1178" w:type="dxa"/>
            <w:shd w:val="clear" w:color="auto" w:fill="FFFFFF" w:themeFill="background1"/>
            <w:vAlign w:val="center"/>
          </w:tcPr>
          <w:p w14:paraId="3AC0D346" w14:textId="77777777" w:rsidR="00440413" w:rsidRPr="000C5056" w:rsidRDefault="00440413" w:rsidP="005C5187">
            <w:pPr>
              <w:jc w:val="center"/>
            </w:pPr>
            <w:r w:rsidRPr="000C5056">
              <w:t>5</w:t>
            </w:r>
          </w:p>
        </w:tc>
      </w:tr>
      <w:tr w:rsidR="00440413" w:rsidRPr="000C5056" w14:paraId="2E2AD8E3" w14:textId="77777777" w:rsidTr="00D87F08">
        <w:trPr>
          <w:trHeight w:val="372"/>
        </w:trPr>
        <w:tc>
          <w:tcPr>
            <w:tcW w:w="822" w:type="dxa"/>
            <w:shd w:val="clear" w:color="auto" w:fill="A8D08D" w:themeFill="accent6" w:themeFillTint="99"/>
            <w:vAlign w:val="center"/>
          </w:tcPr>
          <w:p w14:paraId="53ED6BA2" w14:textId="77777777" w:rsidR="00440413" w:rsidRPr="000C5056" w:rsidRDefault="00440413" w:rsidP="005C5187">
            <w:pPr>
              <w:jc w:val="center"/>
            </w:pPr>
            <w:r>
              <w:t>3.</w:t>
            </w:r>
          </w:p>
        </w:tc>
        <w:tc>
          <w:tcPr>
            <w:tcW w:w="7460" w:type="dxa"/>
            <w:shd w:val="clear" w:color="auto" w:fill="A8D08D" w:themeFill="accent6" w:themeFillTint="99"/>
            <w:vAlign w:val="center"/>
          </w:tcPr>
          <w:p w14:paraId="56470F6D" w14:textId="77777777" w:rsidR="00440413" w:rsidRPr="000C5056" w:rsidRDefault="00440413" w:rsidP="005C5187">
            <w:pPr>
              <w:ind w:left="34"/>
              <w:rPr>
                <w:b/>
              </w:rPr>
            </w:pPr>
            <w:proofErr w:type="spellStart"/>
            <w:r w:rsidRPr="000C5056">
              <w:rPr>
                <w:b/>
              </w:rPr>
              <w:t>Zaštita</w:t>
            </w:r>
            <w:proofErr w:type="spellEnd"/>
            <w:r w:rsidRPr="000C5056">
              <w:rPr>
                <w:b/>
              </w:rPr>
              <w:t xml:space="preserve"> </w:t>
            </w:r>
            <w:proofErr w:type="spellStart"/>
            <w:r w:rsidRPr="000C5056">
              <w:rPr>
                <w:b/>
              </w:rPr>
              <w:t>okoliša</w:t>
            </w:r>
            <w:proofErr w:type="spellEnd"/>
            <w:r w:rsidRPr="000C5056">
              <w:rPr>
                <w:b/>
              </w:rPr>
              <w:t xml:space="preserve"> i </w:t>
            </w:r>
            <w:proofErr w:type="spellStart"/>
            <w:r w:rsidRPr="000C5056">
              <w:rPr>
                <w:b/>
              </w:rPr>
              <w:t>ublažavanje</w:t>
            </w:r>
            <w:proofErr w:type="spellEnd"/>
            <w:r w:rsidRPr="000C5056">
              <w:rPr>
                <w:b/>
              </w:rPr>
              <w:t xml:space="preserve"> </w:t>
            </w:r>
            <w:proofErr w:type="spellStart"/>
            <w:r w:rsidRPr="000C5056">
              <w:rPr>
                <w:b/>
              </w:rPr>
              <w:t>klimatskih</w:t>
            </w:r>
            <w:proofErr w:type="spellEnd"/>
            <w:r w:rsidRPr="000C5056">
              <w:rPr>
                <w:b/>
              </w:rPr>
              <w:t xml:space="preserve"> </w:t>
            </w:r>
            <w:proofErr w:type="spellStart"/>
            <w:r w:rsidRPr="000C5056">
              <w:rPr>
                <w:b/>
              </w:rPr>
              <w:t>promjena</w:t>
            </w:r>
            <w:proofErr w:type="spellEnd"/>
          </w:p>
        </w:tc>
        <w:tc>
          <w:tcPr>
            <w:tcW w:w="1178" w:type="dxa"/>
            <w:shd w:val="clear" w:color="auto" w:fill="A8D08D" w:themeFill="accent6" w:themeFillTint="99"/>
            <w:vAlign w:val="center"/>
          </w:tcPr>
          <w:p w14:paraId="7F279FD0" w14:textId="77777777" w:rsidR="00440413" w:rsidRPr="000C5056" w:rsidRDefault="00440413" w:rsidP="005C5187">
            <w:pPr>
              <w:jc w:val="center"/>
              <w:rPr>
                <w:b/>
              </w:rPr>
            </w:pPr>
            <w:r>
              <w:rPr>
                <w:b/>
              </w:rPr>
              <w:t>Max. 5</w:t>
            </w:r>
          </w:p>
        </w:tc>
      </w:tr>
      <w:tr w:rsidR="00440413" w:rsidRPr="000C5056" w14:paraId="25C8C13F" w14:textId="77777777" w:rsidTr="005C5187">
        <w:trPr>
          <w:trHeight w:val="372"/>
        </w:trPr>
        <w:tc>
          <w:tcPr>
            <w:tcW w:w="822" w:type="dxa"/>
            <w:shd w:val="clear" w:color="auto" w:fill="FFFFFF" w:themeFill="background1"/>
            <w:vAlign w:val="center"/>
          </w:tcPr>
          <w:p w14:paraId="3CCF4CB7" w14:textId="77777777" w:rsidR="00440413" w:rsidRPr="000C5056" w:rsidRDefault="00440413" w:rsidP="005C5187"/>
        </w:tc>
        <w:tc>
          <w:tcPr>
            <w:tcW w:w="7460" w:type="dxa"/>
            <w:shd w:val="clear" w:color="auto" w:fill="FFFFFF" w:themeFill="background1"/>
            <w:vAlign w:val="center"/>
          </w:tcPr>
          <w:p w14:paraId="77BED08F" w14:textId="77777777" w:rsidR="00440413" w:rsidRPr="000C5056" w:rsidRDefault="00440413" w:rsidP="005C5187">
            <w:proofErr w:type="spellStart"/>
            <w:r w:rsidRPr="000C5056">
              <w:t>Ulaganje</w:t>
            </w:r>
            <w:proofErr w:type="spellEnd"/>
            <w:r w:rsidRPr="000C5056">
              <w:t xml:space="preserve"> </w:t>
            </w:r>
            <w:proofErr w:type="spellStart"/>
            <w:r w:rsidRPr="000C5056">
              <w:t>doprinosi</w:t>
            </w:r>
            <w:proofErr w:type="spellEnd"/>
            <w:r w:rsidRPr="000C5056">
              <w:t xml:space="preserve"> </w:t>
            </w:r>
            <w:proofErr w:type="spellStart"/>
            <w:r w:rsidRPr="000C5056">
              <w:t>promicanju</w:t>
            </w:r>
            <w:proofErr w:type="spellEnd"/>
            <w:r w:rsidRPr="000C5056">
              <w:t xml:space="preserve"> </w:t>
            </w:r>
            <w:proofErr w:type="spellStart"/>
            <w:r w:rsidRPr="000C5056">
              <w:t>učinkovitosti</w:t>
            </w:r>
            <w:proofErr w:type="spellEnd"/>
            <w:r w:rsidRPr="000C5056">
              <w:t xml:space="preserve"> </w:t>
            </w:r>
            <w:proofErr w:type="spellStart"/>
            <w:r w:rsidRPr="000C5056">
              <w:t>resursa</w:t>
            </w:r>
            <w:proofErr w:type="spellEnd"/>
            <w:r w:rsidRPr="000C5056">
              <w:t xml:space="preserve"> </w:t>
            </w:r>
            <w:proofErr w:type="spellStart"/>
            <w:r w:rsidRPr="000C5056">
              <w:t>te</w:t>
            </w:r>
            <w:proofErr w:type="spellEnd"/>
            <w:r w:rsidRPr="000C5056">
              <w:t xml:space="preserve"> </w:t>
            </w:r>
            <w:proofErr w:type="spellStart"/>
            <w:r w:rsidRPr="000C5056">
              <w:t>zaštiti</w:t>
            </w:r>
            <w:proofErr w:type="spellEnd"/>
            <w:r w:rsidRPr="000C5056">
              <w:t xml:space="preserve"> </w:t>
            </w:r>
            <w:proofErr w:type="spellStart"/>
            <w:r w:rsidRPr="000C5056">
              <w:t>okoliša</w:t>
            </w:r>
            <w:proofErr w:type="spellEnd"/>
            <w:r w:rsidRPr="000C5056">
              <w:t xml:space="preserve">, </w:t>
            </w:r>
            <w:proofErr w:type="spellStart"/>
            <w:r w:rsidRPr="000C5056">
              <w:t>ublažavanju</w:t>
            </w:r>
            <w:proofErr w:type="spellEnd"/>
            <w:r w:rsidRPr="000C5056">
              <w:t xml:space="preserve"> </w:t>
            </w:r>
            <w:proofErr w:type="spellStart"/>
            <w:r w:rsidRPr="000C5056">
              <w:t>klimatskih</w:t>
            </w:r>
            <w:proofErr w:type="spellEnd"/>
            <w:r w:rsidRPr="000C5056">
              <w:t xml:space="preserve"> </w:t>
            </w:r>
            <w:proofErr w:type="spellStart"/>
            <w:r w:rsidRPr="000C5056">
              <w:t>promjena</w:t>
            </w:r>
            <w:proofErr w:type="spellEnd"/>
            <w:r w:rsidRPr="000C5056">
              <w:t xml:space="preserve"> i </w:t>
            </w:r>
            <w:proofErr w:type="spellStart"/>
            <w:r w:rsidRPr="000C5056">
              <w:t>energetskoj</w:t>
            </w:r>
            <w:proofErr w:type="spellEnd"/>
            <w:r w:rsidRPr="000C5056">
              <w:t xml:space="preserve"> </w:t>
            </w:r>
            <w:proofErr w:type="spellStart"/>
            <w:r w:rsidRPr="000C5056">
              <w:t>učinkovitosti</w:t>
            </w:r>
            <w:proofErr w:type="spellEnd"/>
          </w:p>
        </w:tc>
        <w:tc>
          <w:tcPr>
            <w:tcW w:w="1178" w:type="dxa"/>
            <w:shd w:val="clear" w:color="auto" w:fill="FFFFFF" w:themeFill="background1"/>
            <w:vAlign w:val="center"/>
          </w:tcPr>
          <w:p w14:paraId="6E53F41C" w14:textId="77777777" w:rsidR="00440413" w:rsidRPr="000C5056" w:rsidRDefault="00440413" w:rsidP="005C5187">
            <w:pPr>
              <w:jc w:val="center"/>
            </w:pPr>
            <w:r w:rsidRPr="000C5056">
              <w:t>5</w:t>
            </w:r>
          </w:p>
        </w:tc>
      </w:tr>
      <w:tr w:rsidR="00440413" w:rsidRPr="000C5056" w14:paraId="79AB0537" w14:textId="77777777" w:rsidTr="00D87F08">
        <w:trPr>
          <w:trHeight w:val="372"/>
        </w:trPr>
        <w:tc>
          <w:tcPr>
            <w:tcW w:w="822" w:type="dxa"/>
            <w:shd w:val="clear" w:color="auto" w:fill="A8D08D" w:themeFill="accent6" w:themeFillTint="99"/>
            <w:vAlign w:val="center"/>
          </w:tcPr>
          <w:p w14:paraId="21AA5718" w14:textId="77777777" w:rsidR="00440413" w:rsidRPr="000C5056" w:rsidRDefault="00440413" w:rsidP="005C5187">
            <w:pPr>
              <w:jc w:val="center"/>
            </w:pPr>
            <w:bookmarkStart w:id="0" w:name="_Hlk511738645"/>
            <w:r>
              <w:t>4.</w:t>
            </w:r>
          </w:p>
        </w:tc>
        <w:tc>
          <w:tcPr>
            <w:tcW w:w="7460" w:type="dxa"/>
            <w:shd w:val="clear" w:color="auto" w:fill="A8D08D" w:themeFill="accent6" w:themeFillTint="99"/>
            <w:vAlign w:val="center"/>
          </w:tcPr>
          <w:p w14:paraId="1EDBF8F4" w14:textId="77777777" w:rsidR="00440413" w:rsidRPr="000C5056" w:rsidRDefault="00440413" w:rsidP="005C5187">
            <w:pPr>
              <w:rPr>
                <w:b/>
              </w:rPr>
            </w:pPr>
            <w:proofErr w:type="spellStart"/>
            <w:r w:rsidRPr="000C5056">
              <w:rPr>
                <w:b/>
              </w:rPr>
              <w:t>Ulaganje</w:t>
            </w:r>
            <w:proofErr w:type="spellEnd"/>
            <w:r w:rsidRPr="000C5056">
              <w:rPr>
                <w:b/>
              </w:rPr>
              <w:t xml:space="preserve"> se </w:t>
            </w:r>
            <w:proofErr w:type="spellStart"/>
            <w:r w:rsidRPr="000C5056">
              <w:rPr>
                <w:b/>
              </w:rPr>
              <w:t>obavlja</w:t>
            </w:r>
            <w:proofErr w:type="spellEnd"/>
            <w:r w:rsidRPr="000C5056">
              <w:rPr>
                <w:b/>
              </w:rPr>
              <w:t xml:space="preserve"> u </w:t>
            </w:r>
            <w:proofErr w:type="spellStart"/>
            <w:r w:rsidRPr="000C5056">
              <w:rPr>
                <w:b/>
              </w:rPr>
              <w:t>području</w:t>
            </w:r>
            <w:proofErr w:type="spellEnd"/>
            <w:r w:rsidRPr="000C5056">
              <w:rPr>
                <w:b/>
              </w:rPr>
              <w:t xml:space="preserve"> </w:t>
            </w:r>
            <w:proofErr w:type="spellStart"/>
            <w:r w:rsidRPr="000C5056">
              <w:rPr>
                <w:b/>
              </w:rPr>
              <w:t>jednog</w:t>
            </w:r>
            <w:proofErr w:type="spellEnd"/>
            <w:r w:rsidRPr="000C5056">
              <w:rPr>
                <w:b/>
              </w:rPr>
              <w:t xml:space="preserve"> od </w:t>
            </w:r>
            <w:proofErr w:type="spellStart"/>
            <w:r w:rsidRPr="000C5056">
              <w:rPr>
                <w:b/>
              </w:rPr>
              <w:t>sektora</w:t>
            </w:r>
            <w:proofErr w:type="spellEnd"/>
          </w:p>
        </w:tc>
        <w:tc>
          <w:tcPr>
            <w:tcW w:w="1178" w:type="dxa"/>
            <w:shd w:val="clear" w:color="auto" w:fill="A8D08D" w:themeFill="accent6" w:themeFillTint="99"/>
            <w:vAlign w:val="center"/>
          </w:tcPr>
          <w:p w14:paraId="77EA7C2F" w14:textId="77777777" w:rsidR="00440413" w:rsidRPr="000C5056" w:rsidRDefault="00440413" w:rsidP="005C5187">
            <w:pPr>
              <w:jc w:val="center"/>
              <w:rPr>
                <w:b/>
              </w:rPr>
            </w:pPr>
            <w:r>
              <w:rPr>
                <w:b/>
              </w:rPr>
              <w:t>Max. 5</w:t>
            </w:r>
          </w:p>
        </w:tc>
      </w:tr>
      <w:bookmarkEnd w:id="0"/>
      <w:tr w:rsidR="00440413" w:rsidRPr="000C5056" w14:paraId="37342B08" w14:textId="77777777" w:rsidTr="005C5187">
        <w:trPr>
          <w:trHeight w:val="318"/>
        </w:trPr>
        <w:tc>
          <w:tcPr>
            <w:tcW w:w="822" w:type="dxa"/>
            <w:shd w:val="clear" w:color="auto" w:fill="FFFFFF" w:themeFill="background1"/>
            <w:vAlign w:val="center"/>
          </w:tcPr>
          <w:p w14:paraId="30F40FC9" w14:textId="77777777" w:rsidR="00440413" w:rsidRPr="000C5056" w:rsidRDefault="00440413" w:rsidP="005C5187"/>
        </w:tc>
        <w:tc>
          <w:tcPr>
            <w:tcW w:w="7460" w:type="dxa"/>
            <w:shd w:val="clear" w:color="auto" w:fill="FFFFFF" w:themeFill="background1"/>
            <w:vAlign w:val="center"/>
          </w:tcPr>
          <w:p w14:paraId="1E0E4ECA" w14:textId="77777777" w:rsidR="00440413" w:rsidRPr="000C5056" w:rsidRDefault="00440413" w:rsidP="005C5187">
            <w:proofErr w:type="spellStart"/>
            <w:r w:rsidRPr="000C5056">
              <w:t>Sektori</w:t>
            </w:r>
            <w:proofErr w:type="spellEnd"/>
            <w:r w:rsidRPr="000C5056">
              <w:t xml:space="preserve"> </w:t>
            </w:r>
            <w:proofErr w:type="spellStart"/>
            <w:r w:rsidRPr="000C5056">
              <w:t>voća</w:t>
            </w:r>
            <w:proofErr w:type="spellEnd"/>
            <w:r>
              <w:t>,</w:t>
            </w:r>
            <w:r w:rsidRPr="000C5056">
              <w:t xml:space="preserve"> </w:t>
            </w:r>
            <w:proofErr w:type="spellStart"/>
            <w:r w:rsidR="00581088">
              <w:t>p</w:t>
            </w:r>
            <w:r w:rsidRPr="000C5056">
              <w:t>ovrća</w:t>
            </w:r>
            <w:proofErr w:type="spellEnd"/>
            <w:r w:rsidRPr="000C5056">
              <w:t xml:space="preserve">, </w:t>
            </w:r>
            <w:proofErr w:type="spellStart"/>
            <w:r w:rsidRPr="000C5056">
              <w:t>ljekovitog</w:t>
            </w:r>
            <w:proofErr w:type="spellEnd"/>
            <w:r w:rsidRPr="000C5056">
              <w:t xml:space="preserve"> </w:t>
            </w:r>
            <w:proofErr w:type="spellStart"/>
            <w:r w:rsidRPr="000C5056">
              <w:t>bilja</w:t>
            </w:r>
            <w:proofErr w:type="spellEnd"/>
            <w:r w:rsidRPr="000C5056">
              <w:t xml:space="preserve">, </w:t>
            </w:r>
            <w:proofErr w:type="spellStart"/>
            <w:r w:rsidRPr="000C5056">
              <w:t>stočarstva</w:t>
            </w:r>
            <w:proofErr w:type="spellEnd"/>
          </w:p>
        </w:tc>
        <w:tc>
          <w:tcPr>
            <w:tcW w:w="1178" w:type="dxa"/>
            <w:shd w:val="clear" w:color="auto" w:fill="FFFFFF" w:themeFill="background1"/>
            <w:vAlign w:val="center"/>
          </w:tcPr>
          <w:p w14:paraId="25F15AC6" w14:textId="77777777" w:rsidR="00440413" w:rsidRPr="000C5056" w:rsidRDefault="00440413" w:rsidP="005C5187">
            <w:pPr>
              <w:jc w:val="center"/>
            </w:pPr>
            <w:r w:rsidRPr="000C5056">
              <w:t>5</w:t>
            </w:r>
          </w:p>
        </w:tc>
      </w:tr>
      <w:tr w:rsidR="00440413" w:rsidRPr="000C5056" w14:paraId="20B714F4" w14:textId="77777777" w:rsidTr="00D87F08">
        <w:trPr>
          <w:trHeight w:val="372"/>
        </w:trPr>
        <w:tc>
          <w:tcPr>
            <w:tcW w:w="822" w:type="dxa"/>
            <w:shd w:val="clear" w:color="auto" w:fill="A8D08D" w:themeFill="accent6" w:themeFillTint="99"/>
            <w:vAlign w:val="center"/>
          </w:tcPr>
          <w:p w14:paraId="6763A839" w14:textId="77777777" w:rsidR="00440413" w:rsidRPr="000C5056" w:rsidRDefault="00440413" w:rsidP="005C5187">
            <w:pPr>
              <w:jc w:val="center"/>
            </w:pPr>
            <w:r>
              <w:t>5.</w:t>
            </w:r>
          </w:p>
        </w:tc>
        <w:tc>
          <w:tcPr>
            <w:tcW w:w="7460" w:type="dxa"/>
            <w:shd w:val="clear" w:color="auto" w:fill="A8D08D" w:themeFill="accent6" w:themeFillTint="99"/>
            <w:vAlign w:val="center"/>
          </w:tcPr>
          <w:p w14:paraId="75397622" w14:textId="77777777" w:rsidR="00440413" w:rsidRPr="000C5056" w:rsidRDefault="00440413" w:rsidP="005C5187">
            <w:pPr>
              <w:rPr>
                <w:b/>
              </w:rPr>
            </w:pPr>
            <w:r w:rsidRPr="000C5056">
              <w:rPr>
                <w:b/>
              </w:rPr>
              <w:t xml:space="preserve">Eko - </w:t>
            </w:r>
            <w:proofErr w:type="spellStart"/>
            <w:r w:rsidRPr="000C5056">
              <w:rPr>
                <w:b/>
              </w:rPr>
              <w:t>proizvodnja</w:t>
            </w:r>
            <w:proofErr w:type="spellEnd"/>
          </w:p>
        </w:tc>
        <w:tc>
          <w:tcPr>
            <w:tcW w:w="1178" w:type="dxa"/>
            <w:shd w:val="clear" w:color="auto" w:fill="A8D08D" w:themeFill="accent6" w:themeFillTint="99"/>
            <w:vAlign w:val="center"/>
          </w:tcPr>
          <w:p w14:paraId="3875F7FA" w14:textId="77777777" w:rsidR="00440413" w:rsidRPr="000C5056" w:rsidRDefault="00440413" w:rsidP="005C5187">
            <w:pPr>
              <w:jc w:val="center"/>
              <w:rPr>
                <w:b/>
              </w:rPr>
            </w:pPr>
            <w:r>
              <w:rPr>
                <w:b/>
              </w:rPr>
              <w:t>Max. 5</w:t>
            </w:r>
          </w:p>
        </w:tc>
      </w:tr>
      <w:tr w:rsidR="00440413" w:rsidRPr="000C5056" w14:paraId="52FE246D" w14:textId="77777777" w:rsidTr="005C5187">
        <w:trPr>
          <w:trHeight w:val="318"/>
        </w:trPr>
        <w:tc>
          <w:tcPr>
            <w:tcW w:w="822" w:type="dxa"/>
            <w:shd w:val="clear" w:color="auto" w:fill="FFFFFF" w:themeFill="background1"/>
            <w:vAlign w:val="center"/>
          </w:tcPr>
          <w:p w14:paraId="2AAB9408" w14:textId="77777777" w:rsidR="00440413" w:rsidRPr="000C5056" w:rsidRDefault="00440413" w:rsidP="005C5187"/>
        </w:tc>
        <w:tc>
          <w:tcPr>
            <w:tcW w:w="7460" w:type="dxa"/>
            <w:shd w:val="clear" w:color="auto" w:fill="FFFFFF" w:themeFill="background1"/>
            <w:vAlign w:val="center"/>
          </w:tcPr>
          <w:p w14:paraId="135AC403" w14:textId="77777777" w:rsidR="00440413" w:rsidRPr="000C5056" w:rsidRDefault="00440413" w:rsidP="005C5187">
            <w:proofErr w:type="spellStart"/>
            <w:r w:rsidRPr="000C5056">
              <w:t>Prijelaz</w:t>
            </w:r>
            <w:proofErr w:type="spellEnd"/>
            <w:r w:rsidRPr="000C5056">
              <w:t xml:space="preserve"> </w:t>
            </w:r>
            <w:proofErr w:type="spellStart"/>
            <w:r w:rsidRPr="000C5056">
              <w:t>na</w:t>
            </w:r>
            <w:proofErr w:type="spellEnd"/>
            <w:r w:rsidRPr="000C5056">
              <w:t xml:space="preserve"> </w:t>
            </w:r>
            <w:proofErr w:type="spellStart"/>
            <w:r w:rsidRPr="000C5056">
              <w:t>eko-proizvodnju</w:t>
            </w:r>
            <w:proofErr w:type="spellEnd"/>
            <w:r w:rsidRPr="000C5056">
              <w:t xml:space="preserve"> </w:t>
            </w:r>
            <w:proofErr w:type="spellStart"/>
            <w:r w:rsidRPr="000C5056">
              <w:t>ili</w:t>
            </w:r>
            <w:proofErr w:type="spellEnd"/>
            <w:r w:rsidRPr="000C5056">
              <w:t xml:space="preserve"> </w:t>
            </w:r>
            <w:proofErr w:type="spellStart"/>
            <w:r w:rsidRPr="000C5056">
              <w:t>postojeći</w:t>
            </w:r>
            <w:proofErr w:type="spellEnd"/>
            <w:r w:rsidRPr="000C5056">
              <w:t xml:space="preserve"> </w:t>
            </w:r>
            <w:proofErr w:type="spellStart"/>
            <w:r w:rsidRPr="000C5056">
              <w:t>eko-proizvođač</w:t>
            </w:r>
            <w:proofErr w:type="spellEnd"/>
          </w:p>
        </w:tc>
        <w:tc>
          <w:tcPr>
            <w:tcW w:w="1178" w:type="dxa"/>
            <w:shd w:val="clear" w:color="auto" w:fill="FFFFFF" w:themeFill="background1"/>
            <w:vAlign w:val="center"/>
          </w:tcPr>
          <w:p w14:paraId="1C1E570C" w14:textId="77777777" w:rsidR="00440413" w:rsidRPr="000C5056" w:rsidRDefault="00440413" w:rsidP="005C5187">
            <w:pPr>
              <w:jc w:val="center"/>
            </w:pPr>
            <w:r w:rsidRPr="000C5056">
              <w:t>5</w:t>
            </w:r>
          </w:p>
        </w:tc>
      </w:tr>
      <w:tr w:rsidR="00440413" w:rsidRPr="000C5056" w14:paraId="44C2E096" w14:textId="77777777" w:rsidTr="00D87F08">
        <w:trPr>
          <w:trHeight w:val="372"/>
        </w:trPr>
        <w:tc>
          <w:tcPr>
            <w:tcW w:w="822" w:type="dxa"/>
            <w:shd w:val="clear" w:color="auto" w:fill="A8D08D" w:themeFill="accent6" w:themeFillTint="99"/>
            <w:vAlign w:val="center"/>
          </w:tcPr>
          <w:p w14:paraId="7AC844DB" w14:textId="77777777" w:rsidR="00440413" w:rsidRPr="000C5056" w:rsidRDefault="00440413" w:rsidP="005C5187">
            <w:pPr>
              <w:jc w:val="center"/>
            </w:pPr>
            <w:r>
              <w:t>6.</w:t>
            </w:r>
          </w:p>
        </w:tc>
        <w:tc>
          <w:tcPr>
            <w:tcW w:w="7460" w:type="dxa"/>
            <w:shd w:val="clear" w:color="auto" w:fill="A8D08D" w:themeFill="accent6" w:themeFillTint="99"/>
            <w:vAlign w:val="center"/>
          </w:tcPr>
          <w:p w14:paraId="70068EE6" w14:textId="77777777" w:rsidR="00440413" w:rsidRPr="000C5056" w:rsidRDefault="00440413" w:rsidP="005C5187">
            <w:pPr>
              <w:rPr>
                <w:b/>
              </w:rPr>
            </w:pPr>
            <w:proofErr w:type="spellStart"/>
            <w:r w:rsidRPr="000C5056">
              <w:rPr>
                <w:b/>
              </w:rPr>
              <w:t>Inovativnost</w:t>
            </w:r>
            <w:proofErr w:type="spellEnd"/>
            <w:r w:rsidRPr="000C5056">
              <w:rPr>
                <w:b/>
              </w:rPr>
              <w:t xml:space="preserve"> </w:t>
            </w:r>
          </w:p>
        </w:tc>
        <w:tc>
          <w:tcPr>
            <w:tcW w:w="1178" w:type="dxa"/>
            <w:shd w:val="clear" w:color="auto" w:fill="A8D08D" w:themeFill="accent6" w:themeFillTint="99"/>
            <w:vAlign w:val="center"/>
          </w:tcPr>
          <w:p w14:paraId="46A50BCF" w14:textId="77777777" w:rsidR="00440413" w:rsidRPr="000C5056" w:rsidRDefault="00440413" w:rsidP="005C5187">
            <w:pPr>
              <w:jc w:val="center"/>
              <w:rPr>
                <w:b/>
              </w:rPr>
            </w:pPr>
            <w:r>
              <w:rPr>
                <w:b/>
              </w:rPr>
              <w:t>Max. 5</w:t>
            </w:r>
          </w:p>
        </w:tc>
      </w:tr>
      <w:tr w:rsidR="00440413" w:rsidRPr="000C5056" w14:paraId="425E4C69" w14:textId="77777777" w:rsidTr="005C5187">
        <w:trPr>
          <w:trHeight w:val="318"/>
        </w:trPr>
        <w:tc>
          <w:tcPr>
            <w:tcW w:w="822" w:type="dxa"/>
            <w:shd w:val="clear" w:color="auto" w:fill="FFFFFF" w:themeFill="background1"/>
            <w:vAlign w:val="center"/>
          </w:tcPr>
          <w:p w14:paraId="032EB2E9" w14:textId="77777777" w:rsidR="00440413" w:rsidRPr="000C5056" w:rsidRDefault="00440413" w:rsidP="005C5187"/>
        </w:tc>
        <w:tc>
          <w:tcPr>
            <w:tcW w:w="7460" w:type="dxa"/>
            <w:shd w:val="clear" w:color="auto" w:fill="FFFFFF" w:themeFill="background1"/>
            <w:vAlign w:val="center"/>
          </w:tcPr>
          <w:p w14:paraId="31925502" w14:textId="77777777" w:rsidR="00440413" w:rsidRPr="000C5056" w:rsidRDefault="00440413" w:rsidP="005C5187">
            <w:proofErr w:type="spellStart"/>
            <w:r w:rsidRPr="000C5056">
              <w:t>Kroz</w:t>
            </w:r>
            <w:proofErr w:type="spellEnd"/>
            <w:r w:rsidRPr="000C5056">
              <w:t xml:space="preserve"> </w:t>
            </w:r>
            <w:proofErr w:type="spellStart"/>
            <w:r w:rsidRPr="000C5056">
              <w:t>ulaganje</w:t>
            </w:r>
            <w:proofErr w:type="spellEnd"/>
            <w:r w:rsidRPr="000C5056">
              <w:t xml:space="preserve"> se </w:t>
            </w:r>
            <w:proofErr w:type="spellStart"/>
            <w:r w:rsidRPr="000C5056">
              <w:t>razvijaju</w:t>
            </w:r>
            <w:proofErr w:type="spellEnd"/>
            <w:r w:rsidRPr="000C5056">
              <w:t xml:space="preserve"> </w:t>
            </w:r>
            <w:proofErr w:type="spellStart"/>
            <w:r w:rsidRPr="000C5056">
              <w:t>novi</w:t>
            </w:r>
            <w:proofErr w:type="spellEnd"/>
            <w:r w:rsidRPr="000C5056">
              <w:t xml:space="preserve"> </w:t>
            </w:r>
            <w:proofErr w:type="spellStart"/>
            <w:r w:rsidRPr="000C5056">
              <w:t>sadržaji</w:t>
            </w:r>
            <w:proofErr w:type="spellEnd"/>
            <w:r w:rsidRPr="000C5056">
              <w:t>/</w:t>
            </w:r>
            <w:proofErr w:type="spellStart"/>
            <w:r w:rsidRPr="000C5056">
              <w:t>proizvodi</w:t>
            </w:r>
            <w:proofErr w:type="spellEnd"/>
            <w:r w:rsidRPr="000C5056">
              <w:t>/</w:t>
            </w:r>
            <w:proofErr w:type="spellStart"/>
            <w:r w:rsidRPr="000C5056">
              <w:t>usluge</w:t>
            </w:r>
            <w:proofErr w:type="spellEnd"/>
          </w:p>
        </w:tc>
        <w:tc>
          <w:tcPr>
            <w:tcW w:w="1178" w:type="dxa"/>
            <w:shd w:val="clear" w:color="auto" w:fill="FFFFFF" w:themeFill="background1"/>
            <w:vAlign w:val="center"/>
          </w:tcPr>
          <w:p w14:paraId="55D408B1" w14:textId="77777777" w:rsidR="00440413" w:rsidRPr="000C5056" w:rsidRDefault="00440413" w:rsidP="005C5187">
            <w:pPr>
              <w:jc w:val="center"/>
            </w:pPr>
            <w:r w:rsidRPr="000C5056">
              <w:t>5</w:t>
            </w:r>
          </w:p>
        </w:tc>
      </w:tr>
      <w:tr w:rsidR="00440413" w:rsidRPr="000C5056" w14:paraId="2EA3A41F" w14:textId="77777777" w:rsidTr="00D87F08">
        <w:trPr>
          <w:trHeight w:val="372"/>
        </w:trPr>
        <w:tc>
          <w:tcPr>
            <w:tcW w:w="822" w:type="dxa"/>
            <w:shd w:val="clear" w:color="auto" w:fill="A8D08D" w:themeFill="accent6" w:themeFillTint="99"/>
            <w:vAlign w:val="center"/>
          </w:tcPr>
          <w:p w14:paraId="36A63761" w14:textId="77777777" w:rsidR="00440413" w:rsidRPr="000C5056" w:rsidRDefault="00440413" w:rsidP="005C5187">
            <w:pPr>
              <w:jc w:val="center"/>
            </w:pPr>
            <w:r>
              <w:t>7.</w:t>
            </w:r>
          </w:p>
        </w:tc>
        <w:tc>
          <w:tcPr>
            <w:tcW w:w="7460" w:type="dxa"/>
            <w:shd w:val="clear" w:color="auto" w:fill="A8D08D" w:themeFill="accent6" w:themeFillTint="99"/>
            <w:vAlign w:val="center"/>
          </w:tcPr>
          <w:p w14:paraId="21A758E9" w14:textId="77777777" w:rsidR="00440413" w:rsidRPr="000C5056" w:rsidRDefault="00440413" w:rsidP="005C5187">
            <w:pPr>
              <w:rPr>
                <w:b/>
              </w:rPr>
            </w:pPr>
            <w:proofErr w:type="spellStart"/>
            <w:r w:rsidRPr="000C5056">
              <w:rPr>
                <w:b/>
              </w:rPr>
              <w:t>Razvoj</w:t>
            </w:r>
            <w:proofErr w:type="spellEnd"/>
            <w:r w:rsidRPr="000C5056">
              <w:rPr>
                <w:b/>
              </w:rPr>
              <w:t xml:space="preserve"> </w:t>
            </w:r>
            <w:proofErr w:type="spellStart"/>
            <w:r w:rsidRPr="000C5056">
              <w:rPr>
                <w:b/>
              </w:rPr>
              <w:t>usluga</w:t>
            </w:r>
            <w:proofErr w:type="spellEnd"/>
            <w:r w:rsidRPr="000C5056">
              <w:rPr>
                <w:b/>
              </w:rPr>
              <w:t xml:space="preserve"> za </w:t>
            </w:r>
            <w:proofErr w:type="spellStart"/>
            <w:r w:rsidRPr="000C5056">
              <w:rPr>
                <w:b/>
              </w:rPr>
              <w:t>različite</w:t>
            </w:r>
            <w:proofErr w:type="spellEnd"/>
            <w:r w:rsidRPr="000C5056">
              <w:rPr>
                <w:b/>
              </w:rPr>
              <w:t xml:space="preserve"> </w:t>
            </w:r>
            <w:proofErr w:type="spellStart"/>
            <w:r w:rsidRPr="000C5056">
              <w:rPr>
                <w:b/>
              </w:rPr>
              <w:t>skupine</w:t>
            </w:r>
            <w:proofErr w:type="spellEnd"/>
            <w:r w:rsidRPr="000C5056">
              <w:rPr>
                <w:b/>
              </w:rPr>
              <w:t xml:space="preserve"> </w:t>
            </w:r>
            <w:proofErr w:type="spellStart"/>
            <w:r w:rsidRPr="000C5056">
              <w:rPr>
                <w:b/>
              </w:rPr>
              <w:t>korisnika</w:t>
            </w:r>
            <w:proofErr w:type="spellEnd"/>
          </w:p>
        </w:tc>
        <w:tc>
          <w:tcPr>
            <w:tcW w:w="1178" w:type="dxa"/>
            <w:shd w:val="clear" w:color="auto" w:fill="A8D08D" w:themeFill="accent6" w:themeFillTint="99"/>
            <w:vAlign w:val="center"/>
          </w:tcPr>
          <w:p w14:paraId="2C0A9FDD" w14:textId="77777777" w:rsidR="00440413" w:rsidRPr="000C5056" w:rsidRDefault="00440413" w:rsidP="005C5187">
            <w:pPr>
              <w:jc w:val="center"/>
              <w:rPr>
                <w:b/>
              </w:rPr>
            </w:pPr>
            <w:r>
              <w:rPr>
                <w:b/>
              </w:rPr>
              <w:t>Max. 5</w:t>
            </w:r>
          </w:p>
        </w:tc>
      </w:tr>
      <w:tr w:rsidR="00440413" w:rsidRPr="000C5056" w14:paraId="1567AD8B" w14:textId="77777777" w:rsidTr="005C5187">
        <w:trPr>
          <w:trHeight w:val="318"/>
        </w:trPr>
        <w:tc>
          <w:tcPr>
            <w:tcW w:w="822" w:type="dxa"/>
            <w:shd w:val="clear" w:color="auto" w:fill="FFFFFF" w:themeFill="background1"/>
            <w:vAlign w:val="center"/>
          </w:tcPr>
          <w:p w14:paraId="56DC1400" w14:textId="77777777" w:rsidR="00440413" w:rsidRPr="000C5056" w:rsidRDefault="00440413" w:rsidP="005C5187"/>
        </w:tc>
        <w:tc>
          <w:tcPr>
            <w:tcW w:w="7460" w:type="dxa"/>
            <w:shd w:val="clear" w:color="auto" w:fill="FFFFFF" w:themeFill="background1"/>
            <w:vAlign w:val="center"/>
          </w:tcPr>
          <w:p w14:paraId="53F81C90" w14:textId="77777777" w:rsidR="00440413" w:rsidRPr="000C5056" w:rsidRDefault="00440413" w:rsidP="005C5187">
            <w:proofErr w:type="spellStart"/>
            <w:r w:rsidRPr="000C5056">
              <w:t>Razvijeni</w:t>
            </w:r>
            <w:proofErr w:type="spellEnd"/>
            <w:r w:rsidRPr="000C5056">
              <w:t xml:space="preserve"> </w:t>
            </w:r>
            <w:proofErr w:type="spellStart"/>
            <w:r w:rsidRPr="000C5056">
              <w:t>dodatni</w:t>
            </w:r>
            <w:proofErr w:type="spellEnd"/>
            <w:r w:rsidRPr="000C5056">
              <w:t xml:space="preserve"> </w:t>
            </w:r>
            <w:proofErr w:type="spellStart"/>
            <w:r w:rsidRPr="000C5056">
              <w:t>sadržaj</w:t>
            </w:r>
            <w:proofErr w:type="spellEnd"/>
            <w:r w:rsidRPr="000C5056">
              <w:t xml:space="preserve"> </w:t>
            </w:r>
            <w:proofErr w:type="spellStart"/>
            <w:r w:rsidRPr="000C5056">
              <w:t>namijenjen</w:t>
            </w:r>
            <w:proofErr w:type="spellEnd"/>
            <w:r w:rsidRPr="000C5056">
              <w:t xml:space="preserve"> je </w:t>
            </w:r>
            <w:proofErr w:type="spellStart"/>
            <w:r w:rsidRPr="000C5056">
              <w:t>djeci</w:t>
            </w:r>
            <w:proofErr w:type="spellEnd"/>
            <w:r w:rsidRPr="000C5056">
              <w:t xml:space="preserve"> i/</w:t>
            </w:r>
            <w:proofErr w:type="spellStart"/>
            <w:r w:rsidRPr="000C5056">
              <w:t>ili</w:t>
            </w:r>
            <w:proofErr w:type="spellEnd"/>
            <w:r w:rsidRPr="000C5056">
              <w:t xml:space="preserve"> </w:t>
            </w:r>
            <w:proofErr w:type="spellStart"/>
            <w:r w:rsidRPr="000C5056">
              <w:t>starijoj</w:t>
            </w:r>
            <w:proofErr w:type="spellEnd"/>
            <w:r w:rsidRPr="000C5056">
              <w:t xml:space="preserve"> </w:t>
            </w:r>
            <w:proofErr w:type="spellStart"/>
            <w:r w:rsidRPr="000C5056">
              <w:t>populaciji</w:t>
            </w:r>
            <w:proofErr w:type="spellEnd"/>
          </w:p>
        </w:tc>
        <w:tc>
          <w:tcPr>
            <w:tcW w:w="1178" w:type="dxa"/>
            <w:shd w:val="clear" w:color="auto" w:fill="FFFFFF" w:themeFill="background1"/>
            <w:vAlign w:val="center"/>
          </w:tcPr>
          <w:p w14:paraId="706CB4F9" w14:textId="77777777" w:rsidR="00440413" w:rsidRPr="000C5056" w:rsidRDefault="00440413" w:rsidP="005C5187">
            <w:pPr>
              <w:jc w:val="center"/>
            </w:pPr>
            <w:r w:rsidRPr="000C5056">
              <w:t>5</w:t>
            </w:r>
          </w:p>
        </w:tc>
      </w:tr>
      <w:tr w:rsidR="00440413" w:rsidRPr="000C5056" w14:paraId="1F9EDF9E" w14:textId="77777777" w:rsidTr="005C5187">
        <w:trPr>
          <w:trHeight w:val="318"/>
        </w:trPr>
        <w:tc>
          <w:tcPr>
            <w:tcW w:w="822" w:type="dxa"/>
            <w:shd w:val="clear" w:color="auto" w:fill="FFFFFF" w:themeFill="background1"/>
            <w:vAlign w:val="center"/>
          </w:tcPr>
          <w:p w14:paraId="4579755A" w14:textId="77777777" w:rsidR="00440413" w:rsidRPr="000C5056" w:rsidRDefault="00440413" w:rsidP="005C5187"/>
        </w:tc>
        <w:tc>
          <w:tcPr>
            <w:tcW w:w="7460" w:type="dxa"/>
            <w:shd w:val="clear" w:color="auto" w:fill="FFFFFF" w:themeFill="background1"/>
            <w:vAlign w:val="center"/>
          </w:tcPr>
          <w:p w14:paraId="5F97DEF3" w14:textId="77777777" w:rsidR="00440413" w:rsidRPr="000C5056" w:rsidRDefault="00440413" w:rsidP="005C5187">
            <w:proofErr w:type="spellStart"/>
            <w:r w:rsidRPr="000C5056">
              <w:t>Razvijeni</w:t>
            </w:r>
            <w:proofErr w:type="spellEnd"/>
            <w:r w:rsidRPr="000C5056">
              <w:t xml:space="preserve"> </w:t>
            </w:r>
            <w:proofErr w:type="spellStart"/>
            <w:r w:rsidRPr="000C5056">
              <w:t>dodatni</w:t>
            </w:r>
            <w:proofErr w:type="spellEnd"/>
            <w:r w:rsidRPr="000C5056">
              <w:t xml:space="preserve"> </w:t>
            </w:r>
            <w:proofErr w:type="spellStart"/>
            <w:r w:rsidRPr="000C5056">
              <w:t>sadržaj</w:t>
            </w:r>
            <w:proofErr w:type="spellEnd"/>
            <w:r w:rsidRPr="000C5056">
              <w:t xml:space="preserve"> </w:t>
            </w:r>
            <w:proofErr w:type="spellStart"/>
            <w:r w:rsidRPr="000C5056">
              <w:t>namijenjen</w:t>
            </w:r>
            <w:proofErr w:type="spellEnd"/>
            <w:r w:rsidRPr="000C5056">
              <w:t xml:space="preserve"> je </w:t>
            </w:r>
            <w:proofErr w:type="spellStart"/>
            <w:r w:rsidRPr="000C5056">
              <w:t>osim</w:t>
            </w:r>
            <w:proofErr w:type="spellEnd"/>
            <w:r w:rsidRPr="000C5056">
              <w:t xml:space="preserve"> </w:t>
            </w:r>
            <w:proofErr w:type="spellStart"/>
            <w:r w:rsidRPr="000C5056">
              <w:t>lokalnog</w:t>
            </w:r>
            <w:proofErr w:type="spellEnd"/>
            <w:r w:rsidRPr="000C5056">
              <w:t xml:space="preserve"> </w:t>
            </w:r>
            <w:proofErr w:type="spellStart"/>
            <w:r w:rsidRPr="000C5056">
              <w:t>stanovništvu</w:t>
            </w:r>
            <w:proofErr w:type="spellEnd"/>
            <w:r w:rsidRPr="000C5056">
              <w:t xml:space="preserve"> i </w:t>
            </w:r>
            <w:proofErr w:type="spellStart"/>
            <w:r w:rsidRPr="000C5056">
              <w:t>turistima</w:t>
            </w:r>
            <w:proofErr w:type="spellEnd"/>
            <w:r w:rsidRPr="000C5056">
              <w:t xml:space="preserve"> i </w:t>
            </w:r>
            <w:proofErr w:type="spellStart"/>
            <w:r w:rsidRPr="000C5056">
              <w:t>posjetiteljima</w:t>
            </w:r>
            <w:proofErr w:type="spellEnd"/>
          </w:p>
        </w:tc>
        <w:tc>
          <w:tcPr>
            <w:tcW w:w="1178" w:type="dxa"/>
            <w:shd w:val="clear" w:color="auto" w:fill="FFFFFF" w:themeFill="background1"/>
            <w:vAlign w:val="center"/>
          </w:tcPr>
          <w:p w14:paraId="605107A3" w14:textId="77777777" w:rsidR="00440413" w:rsidRPr="000C5056" w:rsidRDefault="00440413" w:rsidP="005C5187">
            <w:pPr>
              <w:jc w:val="center"/>
            </w:pPr>
            <w:r w:rsidRPr="000C5056">
              <w:t>5</w:t>
            </w:r>
          </w:p>
        </w:tc>
      </w:tr>
      <w:tr w:rsidR="00440413" w:rsidRPr="000C5056" w14:paraId="1FF9B3EB" w14:textId="77777777" w:rsidTr="00D87F08">
        <w:trPr>
          <w:trHeight w:val="372"/>
        </w:trPr>
        <w:tc>
          <w:tcPr>
            <w:tcW w:w="822" w:type="dxa"/>
            <w:shd w:val="clear" w:color="auto" w:fill="A8D08D" w:themeFill="accent6" w:themeFillTint="99"/>
            <w:vAlign w:val="center"/>
          </w:tcPr>
          <w:p w14:paraId="2CF57D5A" w14:textId="77777777" w:rsidR="00440413" w:rsidRPr="000C5056" w:rsidRDefault="00440413" w:rsidP="005C5187">
            <w:pPr>
              <w:jc w:val="center"/>
            </w:pPr>
            <w:r>
              <w:t>8.</w:t>
            </w:r>
          </w:p>
        </w:tc>
        <w:tc>
          <w:tcPr>
            <w:tcW w:w="7460" w:type="dxa"/>
            <w:shd w:val="clear" w:color="auto" w:fill="A8D08D" w:themeFill="accent6" w:themeFillTint="99"/>
            <w:vAlign w:val="center"/>
          </w:tcPr>
          <w:p w14:paraId="60D6AE13" w14:textId="77777777" w:rsidR="00440413" w:rsidRPr="000C5056" w:rsidRDefault="00440413" w:rsidP="005C5187">
            <w:pPr>
              <w:rPr>
                <w:b/>
              </w:rPr>
            </w:pPr>
            <w:proofErr w:type="spellStart"/>
            <w:r w:rsidRPr="000C5056">
              <w:rPr>
                <w:b/>
              </w:rPr>
              <w:t>Opća</w:t>
            </w:r>
            <w:proofErr w:type="spellEnd"/>
            <w:r w:rsidRPr="000C5056">
              <w:rPr>
                <w:b/>
              </w:rPr>
              <w:t xml:space="preserve"> </w:t>
            </w:r>
            <w:proofErr w:type="spellStart"/>
            <w:r w:rsidRPr="000C5056">
              <w:rPr>
                <w:b/>
              </w:rPr>
              <w:t>kvaliteta</w:t>
            </w:r>
            <w:proofErr w:type="spellEnd"/>
            <w:r w:rsidRPr="000C5056">
              <w:rPr>
                <w:b/>
              </w:rPr>
              <w:t xml:space="preserve"> </w:t>
            </w:r>
            <w:proofErr w:type="spellStart"/>
            <w:r w:rsidRPr="000C5056">
              <w:rPr>
                <w:b/>
              </w:rPr>
              <w:t>prijave</w:t>
            </w:r>
            <w:proofErr w:type="spellEnd"/>
          </w:p>
        </w:tc>
        <w:tc>
          <w:tcPr>
            <w:tcW w:w="1178" w:type="dxa"/>
            <w:shd w:val="clear" w:color="auto" w:fill="A8D08D" w:themeFill="accent6" w:themeFillTint="99"/>
            <w:vAlign w:val="center"/>
          </w:tcPr>
          <w:p w14:paraId="26E0FA93" w14:textId="77777777" w:rsidR="00440413" w:rsidRPr="000C5056" w:rsidRDefault="00440413" w:rsidP="005C5187">
            <w:pPr>
              <w:jc w:val="center"/>
              <w:rPr>
                <w:b/>
              </w:rPr>
            </w:pPr>
            <w:r>
              <w:rPr>
                <w:b/>
              </w:rPr>
              <w:t>Max. 5</w:t>
            </w:r>
          </w:p>
        </w:tc>
      </w:tr>
      <w:tr w:rsidR="00440413" w:rsidRPr="000C5056" w14:paraId="44B528A3" w14:textId="77777777" w:rsidTr="005C5187">
        <w:trPr>
          <w:trHeight w:val="318"/>
        </w:trPr>
        <w:tc>
          <w:tcPr>
            <w:tcW w:w="822" w:type="dxa"/>
            <w:shd w:val="clear" w:color="auto" w:fill="FFFFFF" w:themeFill="background1"/>
            <w:vAlign w:val="center"/>
          </w:tcPr>
          <w:p w14:paraId="49780208" w14:textId="77777777" w:rsidR="00440413" w:rsidRPr="000C5056" w:rsidRDefault="00440413" w:rsidP="005C5187"/>
        </w:tc>
        <w:tc>
          <w:tcPr>
            <w:tcW w:w="7460" w:type="dxa"/>
            <w:shd w:val="clear" w:color="auto" w:fill="FFFFFF" w:themeFill="background1"/>
            <w:vAlign w:val="center"/>
          </w:tcPr>
          <w:p w14:paraId="1BF2C792" w14:textId="77777777" w:rsidR="00440413" w:rsidRPr="000C5056" w:rsidRDefault="00440413" w:rsidP="005C5187">
            <w:r w:rsidRPr="000C5056">
              <w:t xml:space="preserve">Je li </w:t>
            </w:r>
            <w:proofErr w:type="spellStart"/>
            <w:r w:rsidRPr="000C5056">
              <w:t>projekt</w:t>
            </w:r>
            <w:proofErr w:type="spellEnd"/>
            <w:r w:rsidRPr="000C5056">
              <w:t xml:space="preserve"> </w:t>
            </w:r>
            <w:proofErr w:type="spellStart"/>
            <w:r w:rsidRPr="000C5056">
              <w:t>opravdan</w:t>
            </w:r>
            <w:proofErr w:type="spellEnd"/>
            <w:r w:rsidRPr="000C5056">
              <w:t xml:space="preserve"> i </w:t>
            </w:r>
            <w:proofErr w:type="spellStart"/>
            <w:r w:rsidRPr="000C5056">
              <w:t>izvediv</w:t>
            </w:r>
            <w:proofErr w:type="spellEnd"/>
            <w:r w:rsidRPr="000C5056">
              <w:t xml:space="preserve">? Je li </w:t>
            </w:r>
            <w:proofErr w:type="spellStart"/>
            <w:r w:rsidRPr="000C5056">
              <w:t>izrađena</w:t>
            </w:r>
            <w:proofErr w:type="spellEnd"/>
            <w:r w:rsidRPr="000C5056">
              <w:t xml:space="preserve"> </w:t>
            </w:r>
            <w:proofErr w:type="spellStart"/>
            <w:r w:rsidRPr="000C5056">
              <w:t>studija</w:t>
            </w:r>
            <w:proofErr w:type="spellEnd"/>
            <w:r w:rsidRPr="000C5056">
              <w:t xml:space="preserve"> (pred)</w:t>
            </w:r>
            <w:proofErr w:type="spellStart"/>
            <w:r w:rsidRPr="000C5056">
              <w:t>izvodljivosti</w:t>
            </w:r>
            <w:proofErr w:type="spellEnd"/>
            <w:r w:rsidRPr="000C5056">
              <w:t xml:space="preserve">? Jesu li </w:t>
            </w:r>
            <w:proofErr w:type="spellStart"/>
            <w:r w:rsidRPr="000C5056">
              <w:t>aktivnosti</w:t>
            </w:r>
            <w:proofErr w:type="spellEnd"/>
            <w:r w:rsidRPr="000C5056">
              <w:t xml:space="preserve"> </w:t>
            </w:r>
            <w:proofErr w:type="spellStart"/>
            <w:r w:rsidRPr="000C5056">
              <w:t>pravilno</w:t>
            </w:r>
            <w:proofErr w:type="spellEnd"/>
            <w:r w:rsidRPr="000C5056">
              <w:t xml:space="preserve"> </w:t>
            </w:r>
            <w:proofErr w:type="spellStart"/>
            <w:r w:rsidRPr="000C5056">
              <w:t>prikazane</w:t>
            </w:r>
            <w:proofErr w:type="spellEnd"/>
            <w:r w:rsidRPr="000C5056">
              <w:t xml:space="preserve"> u </w:t>
            </w:r>
            <w:proofErr w:type="spellStart"/>
            <w:r w:rsidRPr="000C5056">
              <w:t>troškovniku</w:t>
            </w:r>
            <w:proofErr w:type="spellEnd"/>
            <w:r w:rsidRPr="000C5056">
              <w:t xml:space="preserve"> i je li </w:t>
            </w:r>
            <w:proofErr w:type="spellStart"/>
            <w:r w:rsidRPr="000C5056">
              <w:t>traženi</w:t>
            </w:r>
            <w:proofErr w:type="spellEnd"/>
            <w:r w:rsidRPr="000C5056">
              <w:t xml:space="preserve"> </w:t>
            </w:r>
            <w:proofErr w:type="spellStart"/>
            <w:r w:rsidRPr="000C5056">
              <w:t>iznos</w:t>
            </w:r>
            <w:proofErr w:type="spellEnd"/>
            <w:r w:rsidRPr="000C5056">
              <w:t xml:space="preserve"> </w:t>
            </w:r>
            <w:proofErr w:type="spellStart"/>
            <w:r w:rsidRPr="000C5056">
              <w:t>financiranja</w:t>
            </w:r>
            <w:proofErr w:type="spellEnd"/>
            <w:r w:rsidRPr="000C5056">
              <w:t xml:space="preserve"> </w:t>
            </w:r>
            <w:proofErr w:type="spellStart"/>
            <w:r w:rsidRPr="000C5056">
              <w:t>opravdan</w:t>
            </w:r>
            <w:proofErr w:type="spellEnd"/>
            <w:r w:rsidRPr="000C5056">
              <w:t xml:space="preserve">? Jesu li </w:t>
            </w:r>
            <w:proofErr w:type="spellStart"/>
            <w:r w:rsidRPr="000C5056">
              <w:t>ljudski</w:t>
            </w:r>
            <w:proofErr w:type="spellEnd"/>
            <w:r w:rsidRPr="000C5056">
              <w:t xml:space="preserve"> </w:t>
            </w:r>
            <w:proofErr w:type="spellStart"/>
            <w:r w:rsidRPr="000C5056">
              <w:t>resursi</w:t>
            </w:r>
            <w:proofErr w:type="spellEnd"/>
            <w:r w:rsidRPr="000C5056">
              <w:t xml:space="preserve"> </w:t>
            </w:r>
            <w:proofErr w:type="spellStart"/>
            <w:r w:rsidRPr="000C5056">
              <w:t>prijavitelja</w:t>
            </w:r>
            <w:proofErr w:type="spellEnd"/>
            <w:r w:rsidRPr="000C5056">
              <w:t xml:space="preserve"> </w:t>
            </w:r>
            <w:proofErr w:type="spellStart"/>
            <w:r w:rsidRPr="000C5056">
              <w:t>dostatni</w:t>
            </w:r>
            <w:proofErr w:type="spellEnd"/>
            <w:r w:rsidRPr="000C5056">
              <w:t xml:space="preserve"> za </w:t>
            </w:r>
            <w:proofErr w:type="spellStart"/>
            <w:r w:rsidRPr="000C5056">
              <w:t>provedbu</w:t>
            </w:r>
            <w:proofErr w:type="spellEnd"/>
            <w:r w:rsidRPr="000C5056">
              <w:t xml:space="preserve"> </w:t>
            </w:r>
            <w:proofErr w:type="spellStart"/>
            <w:r w:rsidRPr="000C5056">
              <w:t>projekta</w:t>
            </w:r>
            <w:proofErr w:type="spellEnd"/>
            <w:r w:rsidRPr="000C5056">
              <w:t>?</w:t>
            </w:r>
          </w:p>
        </w:tc>
        <w:tc>
          <w:tcPr>
            <w:tcW w:w="1178" w:type="dxa"/>
            <w:shd w:val="clear" w:color="auto" w:fill="FFFFFF" w:themeFill="background1"/>
            <w:vAlign w:val="center"/>
          </w:tcPr>
          <w:p w14:paraId="4BDEFDA3" w14:textId="77777777" w:rsidR="00440413" w:rsidRPr="000C5056" w:rsidRDefault="00440413" w:rsidP="005C5187">
            <w:pPr>
              <w:jc w:val="center"/>
            </w:pPr>
            <w:r w:rsidRPr="000C5056">
              <w:t>5</w:t>
            </w:r>
          </w:p>
        </w:tc>
      </w:tr>
      <w:tr w:rsidR="00440413" w:rsidRPr="000C5056" w14:paraId="384917F3" w14:textId="77777777" w:rsidTr="00D87F08">
        <w:trPr>
          <w:trHeight w:val="318"/>
        </w:trPr>
        <w:tc>
          <w:tcPr>
            <w:tcW w:w="8282" w:type="dxa"/>
            <w:gridSpan w:val="2"/>
            <w:shd w:val="clear" w:color="auto" w:fill="538135" w:themeFill="accent6" w:themeFillShade="BF"/>
            <w:vAlign w:val="center"/>
          </w:tcPr>
          <w:p w14:paraId="74E4C78F" w14:textId="77777777" w:rsidR="00440413" w:rsidRPr="00D87F08" w:rsidRDefault="00440413" w:rsidP="005C5187">
            <w:pPr>
              <w:jc w:val="right"/>
              <w:rPr>
                <w:b/>
                <w:bCs/>
              </w:rPr>
            </w:pPr>
            <w:r w:rsidRPr="00D87F08">
              <w:rPr>
                <w:b/>
                <w:bCs/>
              </w:rPr>
              <w:t xml:space="preserve">MAKSIMALAN BROJ BODOVA: </w:t>
            </w:r>
          </w:p>
        </w:tc>
        <w:tc>
          <w:tcPr>
            <w:tcW w:w="1178" w:type="dxa"/>
            <w:shd w:val="clear" w:color="auto" w:fill="538135" w:themeFill="accent6" w:themeFillShade="BF"/>
            <w:vAlign w:val="center"/>
          </w:tcPr>
          <w:p w14:paraId="07C8AAB2" w14:textId="77777777" w:rsidR="00440413" w:rsidRPr="00D87F08" w:rsidRDefault="00440413" w:rsidP="005C5187">
            <w:pPr>
              <w:jc w:val="center"/>
              <w:rPr>
                <w:b/>
                <w:bCs/>
              </w:rPr>
            </w:pPr>
            <w:r w:rsidRPr="00D87F08">
              <w:rPr>
                <w:b/>
                <w:bCs/>
              </w:rPr>
              <w:t>50</w:t>
            </w:r>
          </w:p>
        </w:tc>
      </w:tr>
      <w:tr w:rsidR="00440413" w:rsidRPr="000C5056" w14:paraId="25686ABB" w14:textId="77777777" w:rsidTr="00D87F08">
        <w:trPr>
          <w:trHeight w:val="318"/>
        </w:trPr>
        <w:tc>
          <w:tcPr>
            <w:tcW w:w="8282" w:type="dxa"/>
            <w:gridSpan w:val="2"/>
            <w:shd w:val="clear" w:color="auto" w:fill="538135" w:themeFill="accent6" w:themeFillShade="BF"/>
            <w:vAlign w:val="center"/>
          </w:tcPr>
          <w:p w14:paraId="6728A256" w14:textId="77777777" w:rsidR="00440413" w:rsidRPr="00D87F08" w:rsidRDefault="00440413" w:rsidP="005C5187">
            <w:pPr>
              <w:jc w:val="right"/>
              <w:rPr>
                <w:b/>
                <w:bCs/>
              </w:rPr>
            </w:pPr>
            <w:r w:rsidRPr="00D87F08">
              <w:rPr>
                <w:b/>
                <w:bCs/>
              </w:rPr>
              <w:t xml:space="preserve">PRAG PROLAZNOSTI: </w:t>
            </w:r>
          </w:p>
        </w:tc>
        <w:tc>
          <w:tcPr>
            <w:tcW w:w="1178" w:type="dxa"/>
            <w:shd w:val="clear" w:color="auto" w:fill="538135" w:themeFill="accent6" w:themeFillShade="BF"/>
            <w:vAlign w:val="center"/>
          </w:tcPr>
          <w:p w14:paraId="1CE8AE03" w14:textId="77777777" w:rsidR="00440413" w:rsidRPr="00D87F08" w:rsidRDefault="00440413" w:rsidP="005C5187">
            <w:pPr>
              <w:jc w:val="center"/>
              <w:rPr>
                <w:b/>
                <w:bCs/>
              </w:rPr>
            </w:pPr>
            <w:r w:rsidRPr="00D87F08">
              <w:rPr>
                <w:b/>
                <w:bCs/>
              </w:rPr>
              <w:t>25</w:t>
            </w:r>
          </w:p>
        </w:tc>
      </w:tr>
    </w:tbl>
    <w:p w14:paraId="31D33FE8" w14:textId="77777777" w:rsidR="005F1D38" w:rsidRDefault="005F1D38" w:rsidP="00A35B9D">
      <w:pPr>
        <w:jc w:val="both"/>
        <w:rPr>
          <w:b/>
        </w:rPr>
      </w:pPr>
    </w:p>
    <w:p w14:paraId="1047750F" w14:textId="77777777" w:rsidR="0081476A" w:rsidRDefault="0081476A" w:rsidP="00A35B9D">
      <w:pPr>
        <w:jc w:val="both"/>
        <w:rPr>
          <w:b/>
        </w:rPr>
      </w:pPr>
    </w:p>
    <w:p w14:paraId="206288C2" w14:textId="77777777" w:rsidR="0028644D" w:rsidRDefault="00877C99" w:rsidP="00A35B9D">
      <w:pPr>
        <w:jc w:val="both"/>
        <w:rPr>
          <w:b/>
          <w:u w:val="single"/>
        </w:rPr>
      </w:pPr>
      <w:r w:rsidRPr="00877C99">
        <w:rPr>
          <w:b/>
          <w:u w:val="single"/>
        </w:rPr>
        <w:lastRenderedPageBreak/>
        <w:t>POJAŠNJENJE KRITERIJA BODOVANJA PROJEKATA:</w:t>
      </w:r>
    </w:p>
    <w:p w14:paraId="7F2538D0"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14:paraId="5201888F" w14:textId="7E81AB02"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Da bi korisnik bio prihvatljiv po navedenom kriteriju bodovanja, projekt mora biti u skladu s Programom ruralnog razvoja i s LRS LAG-a Vuka-Dunav. </w:t>
      </w:r>
    </w:p>
    <w:p w14:paraId="54B9EB11" w14:textId="77777777" w:rsidR="00A81813" w:rsidRPr="00E24EE7" w:rsidRDefault="00A81813" w:rsidP="00A81813">
      <w:pPr>
        <w:shd w:val="clear" w:color="auto" w:fill="FFFFFF" w:themeFill="background1"/>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rPr>
        <w:t>prihvatljiv</w:t>
      </w:r>
      <w:r w:rsidRPr="00E24EE7">
        <w:rPr>
          <w:rFonts w:ascii="Times New Roman" w:hAnsi="Times New Roman" w:cs="Times New Roman"/>
          <w:color w:val="000000" w:themeColor="text1"/>
          <w:sz w:val="24"/>
          <w:szCs w:val="24"/>
        </w:rPr>
        <w:t xml:space="preserve">, nositelj projekta </w:t>
      </w:r>
      <w:r w:rsidRPr="00E24EE7">
        <w:rPr>
          <w:rFonts w:ascii="Times New Roman" w:hAnsi="Times New Roman" w:cs="Times New Roman"/>
          <w:b/>
          <w:color w:val="000000" w:themeColor="text1"/>
          <w:sz w:val="24"/>
          <w:szCs w:val="24"/>
          <w:u w:val="single"/>
        </w:rPr>
        <w:t>mora</w:t>
      </w:r>
      <w:r w:rsidRPr="00E24EE7">
        <w:rPr>
          <w:rFonts w:ascii="Times New Roman" w:hAnsi="Times New Roman" w:cs="Times New Roman"/>
          <w:color w:val="000000" w:themeColor="text1"/>
          <w:sz w:val="24"/>
          <w:szCs w:val="24"/>
        </w:rPr>
        <w:t xml:space="preserve"> biti jedan od sljedećih organizacijskih oblika:</w:t>
      </w:r>
    </w:p>
    <w:p w14:paraId="7B7BC862" w14:textId="77777777" w:rsidR="00A81813" w:rsidRPr="00E24EE7"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jedinica lokalne samouprave </w:t>
      </w:r>
    </w:p>
    <w:p w14:paraId="56C3564E" w14:textId="77777777" w:rsidR="00A81813" w:rsidRPr="00E24EE7"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trgovačko društvo u većinskom vlasništvu jedinica lokalne samouprave </w:t>
      </w:r>
    </w:p>
    <w:p w14:paraId="1ED2CE2C" w14:textId="77777777" w:rsidR="00A81813" w:rsidRPr="00E24EE7"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javna ustanova neprofitnog karaktera u kojoj su osnivači jedinice lokalne samouprave osim javnih vatrogasnih postrojbi, lokalnih i regionalnih razvojnih agencija, škola</w:t>
      </w:r>
    </w:p>
    <w:p w14:paraId="183C2DAD" w14:textId="77777777" w:rsidR="00A81813" w:rsidRPr="00E24EE7"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udruga koja se bavi humanitarnim i društvenim djelatnostima od posebnog interesa za lokalno stanovništvo i čije su djelatnosti u skladu s ciljnim skupinama i klasifikacijom djelatnosti udruga, povezana s prihvatljivim ulaganjem (isključujući lokalne akcijske grupe, zajednice udruga, zaklade, fundacije) </w:t>
      </w:r>
    </w:p>
    <w:p w14:paraId="57B10875" w14:textId="77777777" w:rsidR="00A81813" w:rsidRPr="00E24EE7"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b/>
          <w:color w:val="000000" w:themeColor="text1"/>
          <w:sz w:val="24"/>
          <w:szCs w:val="24"/>
        </w:rPr>
      </w:pPr>
      <w:r w:rsidRPr="00E24EE7">
        <w:rPr>
          <w:rFonts w:ascii="Times New Roman" w:hAnsi="Times New Roman" w:cs="Times New Roman"/>
          <w:color w:val="000000" w:themeColor="text1"/>
          <w:sz w:val="24"/>
          <w:szCs w:val="24"/>
        </w:rPr>
        <w:t>vjerska zajednica koja ima organizacijski oblik na lokalnom nivou i koja se bavi humanitarnim i društvenim djelatnostima od posebnog interesa za lokalno stanovništvo i</w:t>
      </w:r>
    </w:p>
    <w:p w14:paraId="3D9E5CB3" w14:textId="4F8A65A2" w:rsidR="00A81813" w:rsidRDefault="00A81813" w:rsidP="00A81813">
      <w:pPr>
        <w:pStyle w:val="Odlomakpopisa"/>
        <w:numPr>
          <w:ilvl w:val="0"/>
          <w:numId w:val="6"/>
        </w:numPr>
        <w:shd w:val="clear" w:color="auto" w:fill="FFFFFF" w:themeFill="background1"/>
        <w:spacing w:after="0" w:line="240" w:lineRule="auto"/>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lokalna akcijska grupa koja je odabrana unutar Programa. </w:t>
      </w:r>
    </w:p>
    <w:p w14:paraId="41C96825" w14:textId="77777777" w:rsidR="00A81813" w:rsidRDefault="00A81813" w:rsidP="00A81813">
      <w:pPr>
        <w:shd w:val="clear" w:color="auto" w:fill="FFFFFF" w:themeFill="background1"/>
        <w:rPr>
          <w:rFonts w:ascii="Times New Roman" w:hAnsi="Times New Roman" w:cs="Times New Roman"/>
          <w:color w:val="000000" w:themeColor="text1"/>
          <w:sz w:val="24"/>
          <w:szCs w:val="24"/>
        </w:rPr>
      </w:pPr>
    </w:p>
    <w:p w14:paraId="5F69D25E" w14:textId="66AD305A" w:rsidR="00A81813" w:rsidRPr="00E24EE7" w:rsidRDefault="00A81813" w:rsidP="00A81813">
      <w:pPr>
        <w:shd w:val="clear" w:color="auto" w:fill="FFFFFF" w:themeFill="background1"/>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u w:val="single"/>
        </w:rPr>
        <w:t>prihvatljiv</w:t>
      </w:r>
      <w:r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b/>
          <w:color w:val="000000" w:themeColor="text1"/>
          <w:sz w:val="24"/>
          <w:szCs w:val="24"/>
          <w:u w:val="single"/>
        </w:rPr>
        <w:t>projekt mora</w:t>
      </w:r>
      <w:r w:rsidRPr="00E24EE7">
        <w:rPr>
          <w:rFonts w:ascii="Times New Roman" w:hAnsi="Times New Roman" w:cs="Times New Roman"/>
          <w:color w:val="000000" w:themeColor="text1"/>
          <w:sz w:val="24"/>
          <w:szCs w:val="24"/>
        </w:rPr>
        <w:t xml:space="preserve"> ispunjavati sljedeće uvjete:</w:t>
      </w:r>
    </w:p>
    <w:p w14:paraId="79B849A5" w14:textId="77777777" w:rsidR="00A81813" w:rsidRPr="00E24EE7" w:rsidRDefault="00A81813" w:rsidP="00A81813">
      <w:pPr>
        <w:pStyle w:val="ListParagraph1"/>
        <w:numPr>
          <w:ilvl w:val="0"/>
          <w:numId w:val="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biti usklađen s ciljevima i zadacima navedenim u LRS</w:t>
      </w:r>
    </w:p>
    <w:p w14:paraId="2DEE358E" w14:textId="77777777" w:rsidR="00A81813" w:rsidRPr="00E24EE7" w:rsidRDefault="00A81813" w:rsidP="00A81813">
      <w:pPr>
        <w:pStyle w:val="t-9-8"/>
        <w:numPr>
          <w:ilvl w:val="0"/>
          <w:numId w:val="7"/>
        </w:numPr>
        <w:spacing w:before="0" w:beforeAutospacing="0" w:after="0"/>
        <w:ind w:left="270" w:hanging="270"/>
        <w:jc w:val="both"/>
        <w:rPr>
          <w:color w:val="000000" w:themeColor="text1"/>
        </w:rPr>
      </w:pPr>
      <w:r w:rsidRPr="00E24EE7">
        <w:rPr>
          <w:color w:val="000000" w:themeColor="text1"/>
        </w:rPr>
        <w:t>provoditi se na području LAG obuhvata</w:t>
      </w:r>
    </w:p>
    <w:p w14:paraId="268950BE" w14:textId="77777777" w:rsidR="00A81813" w:rsidRPr="00E24EE7" w:rsidRDefault="00A81813" w:rsidP="00A81813">
      <w:pPr>
        <w:pStyle w:val="ListParagraph1"/>
        <w:numPr>
          <w:ilvl w:val="0"/>
          <w:numId w:val="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imati suglasnost svih predstavničkih tijela jedinice lokalne samouprave na čijem se području projekt provodi koja sadrži „Opis projekta“ sa ključnim informacijama o projektu. Prilog uz suglasnost predstavničkog tijela jedinice lokalne samouprave za provedbu ulaganja mora biti izrađen u skladu s predloškom iz Priloga III. ovog Natječaja. Izrađeni i popunjeni predložak mora biti sastavni dio akta predstavničkog tijela jedinice lokalne samouprave o suglasnosti za provedbu ulaganja</w:t>
      </w:r>
    </w:p>
    <w:p w14:paraId="7CEB5FC9" w14:textId="77777777" w:rsidR="00A81813" w:rsidRPr="00E24EE7" w:rsidRDefault="00A81813" w:rsidP="00A81813">
      <w:pPr>
        <w:pStyle w:val="ListParagraph1"/>
        <w:numPr>
          <w:ilvl w:val="0"/>
          <w:numId w:val="7"/>
        </w:numPr>
        <w:shd w:val="clear" w:color="auto" w:fill="FFFFFF" w:themeFill="background1"/>
        <w:ind w:left="270" w:hanging="270"/>
        <w:rPr>
          <w:rFonts w:ascii="Times New Roman" w:hAnsi="Times New Roman"/>
          <w:color w:val="000000" w:themeColor="text1"/>
        </w:rPr>
      </w:pPr>
      <w:r w:rsidRPr="00E24EE7">
        <w:rPr>
          <w:rFonts w:ascii="Times New Roman" w:hAnsi="Times New Roman"/>
          <w:color w:val="000000" w:themeColor="text1"/>
        </w:rPr>
        <w:t>biti u skladu s lokalnom razvojnom strategijom lokalne akcijske grupe i prostornim planom jedinice lokalne samouprave na čijem se području projekt provodi</w:t>
      </w:r>
    </w:p>
    <w:p w14:paraId="6CC6AF42" w14:textId="77777777" w:rsidR="00A81813" w:rsidRPr="00E24EE7" w:rsidRDefault="00A81813" w:rsidP="00A81813">
      <w:pPr>
        <w:pStyle w:val="t-9-8"/>
        <w:numPr>
          <w:ilvl w:val="0"/>
          <w:numId w:val="7"/>
        </w:numPr>
        <w:spacing w:before="0" w:beforeAutospacing="0" w:after="0"/>
        <w:ind w:left="270" w:hanging="270"/>
        <w:jc w:val="both"/>
        <w:rPr>
          <w:color w:val="000000" w:themeColor="text1"/>
        </w:rPr>
      </w:pPr>
      <w:r w:rsidRPr="00E24EE7">
        <w:rPr>
          <w:color w:val="000000" w:themeColor="text1"/>
        </w:rPr>
        <w:t>ne smije imati značajan negativni utjecaj na okoliš i/ili ciljeve očuvanja i cjelovitost područja ekološke mreže, odnosno ako je to propisano od strane nadležnog tijela predviđene su korektivne mjere</w:t>
      </w:r>
    </w:p>
    <w:p w14:paraId="1D3E5FF4" w14:textId="77777777" w:rsidR="00A81813" w:rsidRPr="00E24EE7" w:rsidRDefault="00A81813" w:rsidP="00A81813">
      <w:pPr>
        <w:pStyle w:val="ListParagraph1"/>
        <w:numPr>
          <w:ilvl w:val="0"/>
          <w:numId w:val="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mora imati svu potrebnu dokumentaciju u skladu s propisima kojima se uređuje gradnja, ako je primjenjivo, a građevinska dozvola ili drugi akt kojim se odobrava građenje mora glasiti na nositelja projekta</w:t>
      </w:r>
    </w:p>
    <w:p w14:paraId="7CF3D98C" w14:textId="77777777" w:rsidR="00A81813" w:rsidRPr="00E24EE7" w:rsidRDefault="00A81813" w:rsidP="00A81813">
      <w:pPr>
        <w:pStyle w:val="t-9-8"/>
        <w:numPr>
          <w:ilvl w:val="0"/>
          <w:numId w:val="7"/>
        </w:numPr>
        <w:spacing w:before="0" w:beforeAutospacing="0" w:after="0"/>
        <w:ind w:left="270" w:hanging="270"/>
        <w:jc w:val="both"/>
        <w:rPr>
          <w:color w:val="000000" w:themeColor="text1"/>
        </w:rPr>
      </w:pPr>
      <w:r w:rsidRPr="00E24EE7">
        <w:rPr>
          <w:color w:val="000000" w:themeColor="text1"/>
        </w:rPr>
        <w:t xml:space="preserve">građenje (izgradnja i/ili rekonstrukcija) i/ili opremanje projekta iz poglavlja 3.1 ovoga natječaja je prihvatljivo u naseljima s najviše 5.000 stanovnika na području jedne jedinice lokalne samouprave unutar LAG obuhvata (za utvrđivanje broja stanovnika naselja koristit će se podaci o broju stanovnika Državnog zavoda za statistiku u skladu sa zadnjim važećim popisom stanovništva, odnosno drugi relevantni akti predstavničkih tijela jedinica lokalne samouprave o naseljima koja ulaze u sastav pojedine općine, odnosno grada u slučaju da je došlo do spajanja/razdvajanja/ ukidanja naselja unutar iste jedinice lokalne samouprave) </w:t>
      </w:r>
    </w:p>
    <w:p w14:paraId="31EDBBC2" w14:textId="77777777" w:rsidR="00A81813" w:rsidRPr="00E24EE7" w:rsidRDefault="00A81813" w:rsidP="00A81813">
      <w:pPr>
        <w:pStyle w:val="ListParagraph1"/>
        <w:numPr>
          <w:ilvl w:val="0"/>
          <w:numId w:val="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 xml:space="preserve">provedba aktivnosti vezanih za ulaganje ne smije započeti prije podnošenja prijave projekta osim pripremnih aktivnosti (pripremne aktivnosti uključuju nastale opće troškove navedenih u Listi prihvatljivih troškova u Prilogu II. Natječaja, stjecanje vlasništva nad nekretninom </w:t>
      </w:r>
      <w:r w:rsidRPr="00E24EE7">
        <w:rPr>
          <w:rFonts w:ascii="Times New Roman" w:eastAsiaTheme="minorHAnsi" w:hAnsi="Times New Roman"/>
          <w:color w:val="000000" w:themeColor="text1"/>
          <w:lang w:eastAsia="en-US"/>
        </w:rPr>
        <w:lastRenderedPageBreak/>
        <w:t>na kojoj će se obavljati investicija, ishođenje građevinske i drugih dozvola i s njima povezane aktivnosti do trenutka prijave početka građenja)</w:t>
      </w:r>
    </w:p>
    <w:p w14:paraId="0848CA89" w14:textId="77777777" w:rsidR="00A81813" w:rsidRPr="00585E81" w:rsidRDefault="00A81813" w:rsidP="00A81813">
      <w:pPr>
        <w:pStyle w:val="ListParagraph1"/>
        <w:numPr>
          <w:ilvl w:val="0"/>
          <w:numId w:val="7"/>
        </w:numPr>
        <w:shd w:val="clear" w:color="auto" w:fill="FFFFFF" w:themeFill="background1"/>
        <w:ind w:left="270" w:hanging="270"/>
        <w:rPr>
          <w:rFonts w:ascii="Times New Roman" w:hAnsi="Times New Roman"/>
          <w:color w:val="000000" w:themeColor="text1"/>
        </w:rPr>
      </w:pPr>
      <w:r w:rsidRPr="00E24EE7">
        <w:rPr>
          <w:rFonts w:ascii="Times New Roman" w:eastAsiaTheme="minorHAnsi" w:hAnsi="Times New Roman"/>
          <w:color w:val="000000" w:themeColor="text1"/>
          <w:lang w:eastAsia="en-US"/>
        </w:rPr>
        <w:t>aktivnosti građenja vezane uz projekt mogu započeti prije podnošenja prijave projekta, ali pod uvjetom da u trenutku podnošenja prijave projekta vrijednost započetih aktivnosti građenja ne prelazi 10% ukupne vrijednosti građenja vezanog uz projekt, no takvi troškovi nisu prihvatljivi</w:t>
      </w:r>
      <w:r>
        <w:rPr>
          <w:rFonts w:ascii="Times New Roman" w:eastAsiaTheme="minorHAnsi" w:hAnsi="Times New Roman"/>
          <w:color w:val="000000" w:themeColor="text1"/>
          <w:lang w:eastAsia="en-US"/>
        </w:rPr>
        <w:t xml:space="preserve">, odnosno ulaganje u završetak građenja nije prihvatljivo </w:t>
      </w:r>
      <w:r w:rsidRPr="00E24EE7">
        <w:rPr>
          <w:rFonts w:ascii="Times New Roman" w:hAnsi="Times New Roman"/>
          <w:color w:val="000000" w:themeColor="text1"/>
        </w:rPr>
        <w:t xml:space="preserve"> </w:t>
      </w:r>
    </w:p>
    <w:p w14:paraId="6B8EA110" w14:textId="77777777" w:rsidR="00A81813" w:rsidRPr="00E24EE7" w:rsidRDefault="00A81813" w:rsidP="00A81813">
      <w:pPr>
        <w:pStyle w:val="ListParagraph1"/>
        <w:numPr>
          <w:ilvl w:val="0"/>
          <w:numId w:val="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fazno građenje je prihvatljivo samo ako su prilikom podnošenja prijave projekta prijavljene sve faze projekta te ako sve faze kumulativno ispunjavaju uvjete o prihvatljivosti projekta iz ovog Natječaja</w:t>
      </w:r>
    </w:p>
    <w:p w14:paraId="59C5E4F6" w14:textId="77777777" w:rsidR="00A81813" w:rsidRPr="00E24EE7" w:rsidRDefault="00A81813" w:rsidP="00A81813">
      <w:pPr>
        <w:pStyle w:val="ListParagraph1"/>
        <w:numPr>
          <w:ilvl w:val="0"/>
          <w:numId w:val="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unutar jedne prijave projekta prihvatljivo je građenje (izgradnja ili rekonstrukcija) i/ili opremanje jednog projekta iz poglavlja 3.1 ovog Natječaja, osim u slučajevima iz poglavlja 3.1 točke 19. i 20. kada je prijavljen projekt izgradnje/rekonstrukcije/opremanja jedne građevine u sklopu jednog Glavnog projekta te sadrži kombinaciju najmanje dvije od 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7ED9ED7" w14:textId="77777777" w:rsidR="00A81813" w:rsidRPr="00E24EE7" w:rsidRDefault="00A81813" w:rsidP="00A81813">
      <w:pPr>
        <w:pStyle w:val="ListParagraph1"/>
        <w:numPr>
          <w:ilvl w:val="0"/>
          <w:numId w:val="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projekt mora biti namijenjen javnoj upotrebi/korištenju i javno dostupan različitim pojedincima i interesnim skupinama</w:t>
      </w:r>
    </w:p>
    <w:p w14:paraId="11F3600C" w14:textId="77777777" w:rsidR="00A81813" w:rsidRPr="00E24EE7" w:rsidRDefault="00A81813" w:rsidP="00A81813">
      <w:pPr>
        <w:pStyle w:val="ListParagraph1"/>
        <w:numPr>
          <w:ilvl w:val="0"/>
          <w:numId w:val="7"/>
        </w:numPr>
        <w:shd w:val="clear" w:color="auto" w:fill="FFFFFF" w:themeFill="background1"/>
        <w:rPr>
          <w:rFonts w:ascii="Times New Roman" w:hAnsi="Times New Roman"/>
          <w:color w:val="000000" w:themeColor="text1"/>
        </w:rPr>
      </w:pPr>
      <w:r w:rsidRPr="00E24EE7">
        <w:rPr>
          <w:rFonts w:ascii="Times New Roman" w:eastAsiaTheme="minorHAnsi" w:hAnsi="Times New Roman"/>
          <w:color w:val="000000" w:themeColor="text1"/>
          <w:lang w:eastAsia="en-US"/>
        </w:rPr>
        <w:t xml:space="preserve">nositelj projekta mora biti vlasnik građevine ili isti mora dokazati pravni interes. Pravni interes u slučaju ulaganja u izgradnju ili rekonstrukciju građevina iz poglavlja 3.1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prijave projekta. </w:t>
      </w:r>
      <w:r w:rsidRPr="00E24EE7">
        <w:rPr>
          <w:rFonts w:ascii="Times New Roman" w:hAnsi="Times New Roman"/>
          <w:color w:val="000000" w:themeColor="text1"/>
        </w:rPr>
        <w:t>Pravni interes u slučaju ulaganja isključivo u opremanje građevina iz poglavlja 3.1 ovog Natječaja podrazumijeva da ako nositelj projekta nije vlasnik građevine lokacije ulaganja, nositelj projekta mora imati Ugovor o najmu te građevine sklopljen s vlasnikom građevine na rok od najmanje 10 godina, računajući od datuma podnošenja prijave projekta</w:t>
      </w:r>
    </w:p>
    <w:p w14:paraId="40B859D7" w14:textId="77777777" w:rsidR="00A81813" w:rsidRPr="00E24EE7" w:rsidRDefault="00A81813" w:rsidP="00A81813">
      <w:pPr>
        <w:numPr>
          <w:ilvl w:val="0"/>
          <w:numId w:val="7"/>
        </w:numPr>
        <w:spacing w:after="0" w:line="240" w:lineRule="auto"/>
        <w:ind w:left="540"/>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građevina koja je predmet rekonstrukcije i/ili opremanja mora biti postojeća u skladu s propisima kojima se uređuje gradnja</w:t>
      </w:r>
    </w:p>
    <w:p w14:paraId="7B5B70C2" w14:textId="77777777" w:rsidR="00A81813" w:rsidRPr="00E24EE7" w:rsidRDefault="00A81813" w:rsidP="00A81813">
      <w:pPr>
        <w:pStyle w:val="ListParagraph1"/>
        <w:numPr>
          <w:ilvl w:val="0"/>
          <w:numId w:val="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ako se utvrdi da projekt u razdoblju od 5 (pet) godina nakon završetka projekta ostvaruje neto prihod, nositelju projekta će se umanjiti iznos potpore u skladu s odredbama propisanim ovim Natječajem</w:t>
      </w:r>
    </w:p>
    <w:p w14:paraId="7E01B2A4" w14:textId="77777777" w:rsidR="00A81813" w:rsidRPr="00E24EE7" w:rsidRDefault="00A81813" w:rsidP="00A81813">
      <w:pPr>
        <w:pStyle w:val="ListParagraph1"/>
        <w:numPr>
          <w:ilvl w:val="0"/>
          <w:numId w:val="7"/>
        </w:numPr>
        <w:shd w:val="clear" w:color="auto" w:fill="FFFFFF" w:themeFill="background1"/>
        <w:rPr>
          <w:rFonts w:ascii="Times New Roman" w:hAnsi="Times New Roman"/>
          <w:color w:val="000000" w:themeColor="text1"/>
        </w:rPr>
      </w:pPr>
      <w:r w:rsidRPr="00E24EE7">
        <w:rPr>
          <w:rFonts w:ascii="Times New Roman" w:hAnsi="Times New Roman"/>
          <w:color w:val="000000" w:themeColor="text1"/>
        </w:rPr>
        <w:t>ostvariti minimalan broj bodova prema kriterijima odabira (prag prolaznosti) iz poglavlja 3.4 ovog Natječaja.</w:t>
      </w:r>
    </w:p>
    <w:p w14:paraId="0B69E613" w14:textId="3BBD3992" w:rsidR="00A81813" w:rsidRPr="00A81813" w:rsidRDefault="00A81813" w:rsidP="00A81813">
      <w:pPr>
        <w:shd w:val="clear" w:color="auto" w:fill="FFFFFF" w:themeFill="background1"/>
        <w:spacing w:after="0" w:line="240" w:lineRule="auto"/>
        <w:ind w:left="142"/>
        <w:jc w:val="both"/>
        <w:rPr>
          <w:rFonts w:ascii="Times New Roman" w:hAnsi="Times New Roman" w:cs="Times New Roman"/>
          <w:color w:val="000000" w:themeColor="text1"/>
          <w:sz w:val="24"/>
          <w:szCs w:val="24"/>
        </w:rPr>
      </w:pPr>
    </w:p>
    <w:p w14:paraId="5F608671" w14:textId="77777777" w:rsidR="00A81813" w:rsidRPr="00A81813" w:rsidRDefault="00A81813" w:rsidP="00A81813">
      <w:pPr>
        <w:shd w:val="clear" w:color="auto" w:fill="FFFFFF" w:themeFill="background1"/>
        <w:spacing w:after="0" w:line="240" w:lineRule="auto"/>
        <w:jc w:val="both"/>
        <w:rPr>
          <w:rFonts w:ascii="Times New Roman" w:hAnsi="Times New Roman" w:cs="Times New Roman"/>
          <w:color w:val="000000" w:themeColor="text1"/>
          <w:sz w:val="24"/>
          <w:szCs w:val="24"/>
        </w:rPr>
      </w:pPr>
    </w:p>
    <w:p w14:paraId="359922AD"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F8105C">
        <w:rPr>
          <w:rFonts w:ascii="Times New Roman" w:hAnsi="Times New Roman" w:cs="Times New Roman"/>
          <w:b/>
          <w:sz w:val="24"/>
          <w:szCs w:val="24"/>
          <w:u w:val="single"/>
        </w:rPr>
        <w:t>2</w:t>
      </w:r>
      <w:r w:rsidRPr="00BD23D5">
        <w:rPr>
          <w:rFonts w:ascii="Times New Roman" w:hAnsi="Times New Roman" w:cs="Times New Roman"/>
          <w:b/>
          <w:sz w:val="24"/>
          <w:szCs w:val="24"/>
          <w:u w:val="single"/>
        </w:rPr>
        <w:t xml:space="preserve">: Doprinos zapošljavanju </w:t>
      </w:r>
    </w:p>
    <w:p w14:paraId="7EB36818" w14:textId="05CBB053" w:rsidR="00554890" w:rsidRPr="00553043" w:rsidRDefault="00254584" w:rsidP="00554890">
      <w:pPr>
        <w:pStyle w:val="Default"/>
        <w:rPr>
          <w:rFonts w:asciiTheme="minorHAnsi" w:hAnsiTheme="minorHAnsi" w:cstheme="minorHAnsi"/>
          <w:sz w:val="23"/>
          <w:szCs w:val="23"/>
        </w:rPr>
      </w:pPr>
      <w:r w:rsidRPr="00553043">
        <w:rPr>
          <w:rFonts w:asciiTheme="minorHAnsi" w:hAnsiTheme="minorHAnsi" w:cstheme="minorHAnsi"/>
        </w:rPr>
        <w:t xml:space="preserve">Na temelju podataka iz </w:t>
      </w:r>
      <w:r w:rsidR="00712AF5" w:rsidRPr="00553043">
        <w:rPr>
          <w:rFonts w:asciiTheme="minorHAnsi" w:hAnsiTheme="minorHAnsi" w:cstheme="minorHAnsi"/>
        </w:rPr>
        <w:t>Obrasc</w:t>
      </w:r>
      <w:r w:rsidR="00712AF5" w:rsidRPr="00553043">
        <w:rPr>
          <w:rFonts w:asciiTheme="minorHAnsi" w:hAnsiTheme="minorHAnsi" w:cstheme="minorHAnsi"/>
        </w:rPr>
        <w:t>a</w:t>
      </w:r>
      <w:r w:rsidR="00712AF5" w:rsidRPr="00553043">
        <w:rPr>
          <w:rFonts w:asciiTheme="minorHAnsi" w:hAnsiTheme="minorHAnsi" w:cstheme="minorHAnsi"/>
        </w:rPr>
        <w:t xml:space="preserve"> A – Prijavn</w:t>
      </w:r>
      <w:r w:rsidR="00712AF5" w:rsidRPr="00553043">
        <w:rPr>
          <w:rFonts w:asciiTheme="minorHAnsi" w:hAnsiTheme="minorHAnsi" w:cstheme="minorHAnsi"/>
        </w:rPr>
        <w:t>og</w:t>
      </w:r>
      <w:r w:rsidR="00712AF5" w:rsidRPr="00553043">
        <w:rPr>
          <w:rFonts w:asciiTheme="minorHAnsi" w:hAnsiTheme="minorHAnsi" w:cstheme="minorHAnsi"/>
        </w:rPr>
        <w:t xml:space="preserve"> obra</w:t>
      </w:r>
      <w:r w:rsidR="00712AF5" w:rsidRPr="00553043">
        <w:rPr>
          <w:rFonts w:asciiTheme="minorHAnsi" w:hAnsiTheme="minorHAnsi" w:cstheme="minorHAnsi"/>
        </w:rPr>
        <w:t xml:space="preserve">sca, </w:t>
      </w:r>
      <w:r w:rsidRPr="00553043">
        <w:rPr>
          <w:rFonts w:asciiTheme="minorHAnsi" w:hAnsiTheme="minorHAnsi" w:cstheme="minorHAnsi"/>
        </w:rPr>
        <w:t xml:space="preserve">boduje se doprinos projekta novome zapošljavanju. </w:t>
      </w:r>
      <w:r w:rsidR="00554890" w:rsidRPr="00553043">
        <w:rPr>
          <w:rFonts w:asciiTheme="minorHAnsi" w:hAnsiTheme="minorHAnsi" w:cstheme="minorHAnsi"/>
          <w:sz w:val="23"/>
          <w:szCs w:val="23"/>
        </w:rPr>
        <w:t xml:space="preserve">Jednim radnim mjestom smatra se jedna novo zaposlena osoba prema godišnjim satima rada (dakle, jedan zaposlenik na puno radno vrijeme ili više osoba čiji zbroj radnih sati na godišnjoj razini čini jednog zaposlenika). </w:t>
      </w:r>
    </w:p>
    <w:p w14:paraId="17B3C5F8" w14:textId="77777777" w:rsidR="00554890" w:rsidRPr="00553043" w:rsidRDefault="00554890" w:rsidP="00554890">
      <w:pPr>
        <w:jc w:val="both"/>
        <w:rPr>
          <w:rFonts w:cstheme="minorHAnsi"/>
          <w:sz w:val="23"/>
          <w:szCs w:val="23"/>
        </w:rPr>
      </w:pPr>
      <w:r w:rsidRPr="00553043">
        <w:rPr>
          <w:rFonts w:cstheme="minorHAnsi"/>
          <w:sz w:val="23"/>
          <w:szCs w:val="23"/>
        </w:rPr>
        <w:t xml:space="preserve">Stvaranje novih radnih mjesta mora nastati kod samog korisnika ako će korisnik upravljati realiziranim projektom ili kod druge pravne osobe koja će upravljati realiziranim projektom, ali stvaranje novih radnih mjesta mora biti izravan rezultat provedbe projekta. </w:t>
      </w:r>
    </w:p>
    <w:p w14:paraId="731DD7FD" w14:textId="6846B101" w:rsidR="00254584" w:rsidRPr="00553043" w:rsidRDefault="00254584" w:rsidP="00254584">
      <w:pPr>
        <w:jc w:val="both"/>
        <w:rPr>
          <w:rFonts w:cstheme="minorHAnsi"/>
          <w:sz w:val="24"/>
          <w:szCs w:val="24"/>
        </w:rPr>
      </w:pPr>
      <w:r w:rsidRPr="00553043">
        <w:rPr>
          <w:rFonts w:cstheme="minorHAnsi"/>
          <w:sz w:val="24"/>
          <w:szCs w:val="24"/>
        </w:rPr>
        <w:lastRenderedPageBreak/>
        <w:t xml:space="preserve">POJAŠNJENJE: U svrhu ostvarivanja bodova po ovom kriteriju korisnik mora dokazati da će projektom (prijavljenim ulaganjem) biti novostvoreno jedno radno mjesto. Bodovi se dodjeljuju na temelju podataka koje korisnik navodi u </w:t>
      </w:r>
      <w:r w:rsidR="00554890" w:rsidRPr="00553043">
        <w:rPr>
          <w:rFonts w:cstheme="minorHAnsi"/>
          <w:sz w:val="24"/>
          <w:szCs w:val="24"/>
        </w:rPr>
        <w:t>Obrascu A</w:t>
      </w:r>
      <w:r w:rsidR="00712AF5" w:rsidRPr="00553043">
        <w:rPr>
          <w:rFonts w:cstheme="minorHAnsi"/>
          <w:sz w:val="24"/>
          <w:szCs w:val="24"/>
        </w:rPr>
        <w:t xml:space="preserve"> – Prijavni obrazac</w:t>
      </w:r>
      <w:r w:rsidRPr="00553043">
        <w:rPr>
          <w:rFonts w:cstheme="minorHAnsi"/>
          <w:sz w:val="24"/>
          <w:szCs w:val="24"/>
        </w:rPr>
        <w:t>. Korisnik na temelju ovoga kriterija može ostvariti 5 bodova.</w:t>
      </w:r>
    </w:p>
    <w:p w14:paraId="5AF3F0CE"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25E4">
        <w:rPr>
          <w:rFonts w:ascii="Times New Roman" w:hAnsi="Times New Roman" w:cs="Times New Roman"/>
          <w:b/>
          <w:sz w:val="24"/>
          <w:szCs w:val="24"/>
          <w:u w:val="single"/>
        </w:rPr>
        <w:t>3</w:t>
      </w:r>
      <w:r w:rsidRPr="00BD23D5">
        <w:rPr>
          <w:rFonts w:ascii="Times New Roman" w:hAnsi="Times New Roman" w:cs="Times New Roman"/>
          <w:b/>
          <w:sz w:val="24"/>
          <w:szCs w:val="24"/>
          <w:u w:val="single"/>
        </w:rPr>
        <w:t>: Zaštita okoliša i ublažavanje klimatskih promjena</w:t>
      </w:r>
    </w:p>
    <w:p w14:paraId="5B69FE41" w14:textId="2298EC6C"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Da bi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ostvario bodove po navedenom kriteriju, aktivnosti prikazane u planu</w:t>
      </w:r>
      <w:r w:rsidR="00302CED">
        <w:rPr>
          <w:rFonts w:ascii="Times New Roman" w:hAnsi="Times New Roman" w:cs="Times New Roman"/>
          <w:color w:val="000000"/>
          <w:sz w:val="24"/>
          <w:szCs w:val="24"/>
          <w:lang w:eastAsia="hr-HR"/>
        </w:rPr>
        <w:t xml:space="preserve"> nabave</w:t>
      </w:r>
      <w:r w:rsidRPr="00BD23D5">
        <w:rPr>
          <w:rFonts w:ascii="Times New Roman" w:hAnsi="Times New Roman" w:cs="Times New Roman"/>
          <w:color w:val="000000"/>
          <w:sz w:val="24"/>
          <w:szCs w:val="24"/>
          <w:lang w:eastAsia="hr-HR"/>
        </w:rPr>
        <w:t xml:space="preserve"> moraju se odnositi i na obnovljive izvore i/ili uštedu energije. Najmanje 10% a najviše 30% aktivnosti prikazanih u planu </w:t>
      </w:r>
      <w:r w:rsidR="00B2032D">
        <w:rPr>
          <w:rFonts w:ascii="Times New Roman" w:hAnsi="Times New Roman" w:cs="Times New Roman"/>
          <w:color w:val="000000"/>
          <w:sz w:val="24"/>
          <w:szCs w:val="24"/>
          <w:lang w:eastAsia="hr-HR"/>
        </w:rPr>
        <w:t xml:space="preserve">nabave </w:t>
      </w:r>
      <w:r w:rsidRPr="00BD23D5">
        <w:rPr>
          <w:rFonts w:ascii="Times New Roman" w:hAnsi="Times New Roman" w:cs="Times New Roman"/>
          <w:color w:val="000000"/>
          <w:sz w:val="24"/>
          <w:szCs w:val="24"/>
          <w:lang w:eastAsia="hr-HR"/>
        </w:rPr>
        <w:t>moraju se odnositi na obnovljive izvore i/ili uštedu energije kako bi se mogli dodijeliti bodovi prema navedenom kriteriju.</w:t>
      </w:r>
    </w:p>
    <w:p w14:paraId="0C4BE147" w14:textId="7777777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obnovljivim izvorima energije za ovaj natječaj podrazumijevaju se:</w:t>
      </w:r>
    </w:p>
    <w:p w14:paraId="560E1637" w14:textId="118771F0"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solarnih sustava isključivo na građevine (objekte) koj</w:t>
      </w:r>
      <w:r w:rsidR="00820436">
        <w:rPr>
          <w:rFonts w:ascii="Times New Roman" w:hAnsi="Times New Roman" w:cs="Times New Roman"/>
          <w:color w:val="000000"/>
          <w:sz w:val="24"/>
          <w:szCs w:val="24"/>
          <w:lang w:eastAsia="hr-HR"/>
        </w:rPr>
        <w:t>i su predmet ovoga ulaganja;</w:t>
      </w:r>
    </w:p>
    <w:p w14:paraId="7577295F" w14:textId="630C5987"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kupnja i/ili ugradnja solarnih sustava za potrebe rada </w:t>
      </w:r>
      <w:r w:rsidR="00302CED">
        <w:rPr>
          <w:rFonts w:ascii="Times New Roman" w:hAnsi="Times New Roman" w:cs="Times New Roman"/>
          <w:color w:val="000000"/>
          <w:sz w:val="24"/>
          <w:szCs w:val="24"/>
          <w:lang w:eastAsia="hr-HR"/>
        </w:rPr>
        <w:t xml:space="preserve">objekata </w:t>
      </w:r>
      <w:r w:rsidR="00820436">
        <w:rPr>
          <w:rFonts w:ascii="Times New Roman" w:hAnsi="Times New Roman" w:cs="Times New Roman"/>
          <w:color w:val="000000"/>
          <w:sz w:val="24"/>
          <w:szCs w:val="24"/>
          <w:lang w:eastAsia="hr-HR"/>
        </w:rPr>
        <w:t>/</w:t>
      </w:r>
      <w:r w:rsidR="00302CED">
        <w:rPr>
          <w:rFonts w:ascii="Times New Roman" w:hAnsi="Times New Roman" w:cs="Times New Roman"/>
          <w:color w:val="000000"/>
          <w:sz w:val="24"/>
          <w:szCs w:val="24"/>
          <w:lang w:eastAsia="hr-HR"/>
        </w:rPr>
        <w:t xml:space="preserve"> </w:t>
      </w:r>
      <w:r w:rsidR="00820436">
        <w:rPr>
          <w:rFonts w:ascii="Times New Roman" w:hAnsi="Times New Roman" w:cs="Times New Roman"/>
          <w:color w:val="000000"/>
          <w:sz w:val="24"/>
          <w:szCs w:val="24"/>
          <w:lang w:eastAsia="hr-HR"/>
        </w:rPr>
        <w:t>opreme koj</w:t>
      </w:r>
      <w:r w:rsidR="00302CED">
        <w:rPr>
          <w:rFonts w:ascii="Times New Roman" w:hAnsi="Times New Roman" w:cs="Times New Roman"/>
          <w:color w:val="000000"/>
          <w:sz w:val="24"/>
          <w:szCs w:val="24"/>
          <w:lang w:eastAsia="hr-HR"/>
        </w:rPr>
        <w:t>i</w:t>
      </w:r>
      <w:r w:rsidR="00820436">
        <w:rPr>
          <w:rFonts w:ascii="Times New Roman" w:hAnsi="Times New Roman" w:cs="Times New Roman"/>
          <w:color w:val="000000"/>
          <w:sz w:val="24"/>
          <w:szCs w:val="24"/>
          <w:lang w:eastAsia="hr-HR"/>
        </w:rPr>
        <w:t xml:space="preserve"> su predmet ovog ulaganja</w:t>
      </w:r>
      <w:r w:rsidR="00302CED">
        <w:rPr>
          <w:rFonts w:ascii="Times New Roman" w:hAnsi="Times New Roman" w:cs="Times New Roman"/>
          <w:color w:val="000000"/>
          <w:sz w:val="24"/>
          <w:szCs w:val="24"/>
          <w:lang w:eastAsia="hr-HR"/>
        </w:rPr>
        <w:t xml:space="preserve">. </w:t>
      </w:r>
      <w:r w:rsidRPr="00BD23D5">
        <w:rPr>
          <w:rFonts w:ascii="Times New Roman" w:hAnsi="Times New Roman" w:cs="Times New Roman"/>
          <w:color w:val="000000"/>
          <w:sz w:val="24"/>
          <w:szCs w:val="24"/>
          <w:lang w:eastAsia="hr-HR"/>
        </w:rPr>
        <w:t xml:space="preserve">Ukoliko je u planu </w:t>
      </w:r>
      <w:r w:rsidR="00302CED">
        <w:rPr>
          <w:rFonts w:ascii="Times New Roman" w:hAnsi="Times New Roman" w:cs="Times New Roman"/>
          <w:color w:val="000000"/>
          <w:sz w:val="24"/>
          <w:szCs w:val="24"/>
          <w:lang w:eastAsia="hr-HR"/>
        </w:rPr>
        <w:t xml:space="preserve">nabave </w:t>
      </w:r>
      <w:r w:rsidRPr="00BD23D5">
        <w:rPr>
          <w:rFonts w:ascii="Times New Roman" w:hAnsi="Times New Roman" w:cs="Times New Roman"/>
          <w:color w:val="000000"/>
          <w:sz w:val="24"/>
          <w:szCs w:val="24"/>
          <w:lang w:eastAsia="hr-HR"/>
        </w:rPr>
        <w:t xml:space="preserve">navedena aktivnost kupnje i/ili ugradnje samo solarnog sustava, vrijednost navedenog se uzima za izračun uvjeta </w:t>
      </w:r>
      <w:r w:rsidRPr="00BD23D5">
        <w:rPr>
          <w:rFonts w:ascii="Times New Roman" w:hAnsi="Times New Roman" w:cs="Times New Roman"/>
          <w:i/>
          <w:color w:val="000000"/>
          <w:sz w:val="24"/>
          <w:szCs w:val="24"/>
          <w:lang w:eastAsia="hr-HR"/>
        </w:rPr>
        <w:t>„Najmanje 10% a najviše 30% aktivnosti prikazanih u p</w:t>
      </w:r>
      <w:r w:rsidR="00015A21">
        <w:rPr>
          <w:rFonts w:ascii="Times New Roman" w:hAnsi="Times New Roman" w:cs="Times New Roman"/>
          <w:i/>
          <w:color w:val="000000"/>
          <w:sz w:val="24"/>
          <w:szCs w:val="24"/>
          <w:lang w:eastAsia="hr-HR"/>
        </w:rPr>
        <w:t>lanu nabave</w:t>
      </w:r>
      <w:r w:rsidRPr="00BD23D5">
        <w:rPr>
          <w:rFonts w:ascii="Times New Roman" w:hAnsi="Times New Roman" w:cs="Times New Roman"/>
          <w:i/>
          <w:color w:val="000000"/>
          <w:sz w:val="24"/>
          <w:szCs w:val="24"/>
          <w:lang w:eastAsia="hr-HR"/>
        </w:rPr>
        <w:t xml:space="preserve"> moraju se odnositi na obnovljive izvore i/ili uštedu energije“. </w:t>
      </w:r>
    </w:p>
    <w:p w14:paraId="777B2934" w14:textId="5237D11B"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 kupnja i/ili ugradnja dizalica topline isključivo za građevine (objekte) </w:t>
      </w:r>
      <w:r w:rsidR="00302CED">
        <w:rPr>
          <w:rFonts w:ascii="Times New Roman" w:hAnsi="Times New Roman" w:cs="Times New Roman"/>
          <w:color w:val="000000"/>
          <w:sz w:val="24"/>
          <w:szCs w:val="24"/>
          <w:lang w:eastAsia="hr-HR"/>
        </w:rPr>
        <w:t>koje su predmet ovog ulaganja;</w:t>
      </w:r>
    </w:p>
    <w:p w14:paraId="4AE8AE4B" w14:textId="0DDE8A1D"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sustava za grijanje na biomasu za potrebe grijanja građevina (objekata)  koje su</w:t>
      </w:r>
      <w:r w:rsidR="00302CED">
        <w:rPr>
          <w:rFonts w:ascii="Times New Roman" w:hAnsi="Times New Roman" w:cs="Times New Roman"/>
          <w:color w:val="000000"/>
          <w:sz w:val="24"/>
          <w:szCs w:val="24"/>
          <w:lang w:eastAsia="hr-HR"/>
        </w:rPr>
        <w:t xml:space="preserve"> predmet ovoga ulaganja;</w:t>
      </w:r>
    </w:p>
    <w:p w14:paraId="5B735D91" w14:textId="5CCB51F9"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Pod uštedom energije za ovaj natječaj se podrazumijeva kupnja i po potrebi ugradnja </w:t>
      </w:r>
      <w:r w:rsidRPr="000A41E5">
        <w:rPr>
          <w:rFonts w:ascii="Times New Roman" w:hAnsi="Times New Roman" w:cs="Times New Roman"/>
          <w:b/>
          <w:bCs/>
          <w:color w:val="000000"/>
          <w:sz w:val="24"/>
          <w:szCs w:val="24"/>
          <w:lang w:eastAsia="hr-HR"/>
        </w:rPr>
        <w:t>isključivo nove opreme</w:t>
      </w:r>
      <w:r w:rsidR="00302CED">
        <w:rPr>
          <w:rFonts w:ascii="Times New Roman" w:hAnsi="Times New Roman" w:cs="Times New Roman"/>
          <w:b/>
          <w:bCs/>
          <w:color w:val="000000"/>
          <w:sz w:val="24"/>
          <w:szCs w:val="24"/>
          <w:lang w:eastAsia="hr-HR"/>
        </w:rPr>
        <w:t>.</w:t>
      </w:r>
    </w:p>
    <w:p w14:paraId="73D97A36" w14:textId="67D69954"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Kada je </w:t>
      </w:r>
      <w:r w:rsidR="00712AF5">
        <w:rPr>
          <w:rFonts w:ascii="Times New Roman" w:hAnsi="Times New Roman" w:cs="Times New Roman"/>
          <w:color w:val="000000"/>
          <w:sz w:val="24"/>
          <w:szCs w:val="24"/>
          <w:lang w:eastAsia="hr-HR"/>
        </w:rPr>
        <w:t xml:space="preserve">u </w:t>
      </w:r>
      <w:r w:rsidR="00302CED">
        <w:rPr>
          <w:rFonts w:ascii="Times New Roman" w:hAnsi="Times New Roman" w:cs="Times New Roman"/>
          <w:color w:val="000000"/>
          <w:sz w:val="24"/>
          <w:szCs w:val="24"/>
          <w:lang w:eastAsia="hr-HR"/>
        </w:rPr>
        <w:t>Planu nabave</w:t>
      </w:r>
      <w:r w:rsidR="00712AF5">
        <w:rPr>
          <w:rFonts w:ascii="Times New Roman" w:hAnsi="Times New Roman" w:cs="Times New Roman"/>
          <w:color w:val="000000"/>
          <w:sz w:val="24"/>
          <w:szCs w:val="24"/>
          <w:lang w:eastAsia="hr-HR"/>
        </w:rPr>
        <w:t>,</w:t>
      </w:r>
      <w:r w:rsidRPr="00BD23D5">
        <w:rPr>
          <w:rFonts w:ascii="Times New Roman" w:hAnsi="Times New Roman" w:cs="Times New Roman"/>
          <w:color w:val="000000"/>
          <w:sz w:val="24"/>
          <w:szCs w:val="24"/>
          <w:lang w:eastAsia="hr-HR"/>
        </w:rPr>
        <w:t xml:space="preserve"> predviđena aktivnost nabava nove</w:t>
      </w:r>
      <w:r w:rsidR="00302CED">
        <w:rPr>
          <w:rFonts w:ascii="Times New Roman" w:hAnsi="Times New Roman" w:cs="Times New Roman"/>
          <w:color w:val="000000"/>
          <w:sz w:val="24"/>
          <w:szCs w:val="24"/>
          <w:lang w:eastAsia="hr-HR"/>
        </w:rPr>
        <w:t xml:space="preserve"> opreme</w:t>
      </w:r>
      <w:r w:rsidRPr="00BD23D5">
        <w:rPr>
          <w:rFonts w:ascii="Times New Roman" w:hAnsi="Times New Roman" w:cs="Times New Roman"/>
          <w:color w:val="000000"/>
          <w:sz w:val="24"/>
          <w:szCs w:val="24"/>
          <w:lang w:eastAsia="hr-HR"/>
        </w:rPr>
        <w:t xml:space="preserve">, čija vrijednost je ispod 10%, a iznad 30% aktivnosti prikazanih u </w:t>
      </w:r>
      <w:r w:rsidR="00302CED">
        <w:rPr>
          <w:rFonts w:ascii="Times New Roman" w:hAnsi="Times New Roman" w:cs="Times New Roman"/>
          <w:color w:val="000000"/>
          <w:sz w:val="24"/>
          <w:szCs w:val="24"/>
          <w:lang w:eastAsia="hr-HR"/>
        </w:rPr>
        <w:t>planu nabave</w:t>
      </w:r>
      <w:r w:rsidRPr="00BD23D5">
        <w:rPr>
          <w:rFonts w:ascii="Times New Roman" w:hAnsi="Times New Roman" w:cs="Times New Roman"/>
          <w:color w:val="000000"/>
          <w:sz w:val="24"/>
          <w:szCs w:val="24"/>
          <w:lang w:eastAsia="hr-HR"/>
        </w:rPr>
        <w:t xml:space="preserve">,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tada ne može ostvariti bodove po navedenom kriteriju odabira br.3. .      </w:t>
      </w:r>
    </w:p>
    <w:p w14:paraId="79325117" w14:textId="2A68FBF3"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Ukoliko je u </w:t>
      </w:r>
      <w:r w:rsidR="00320951">
        <w:rPr>
          <w:rFonts w:ascii="Times New Roman" w:hAnsi="Times New Roman" w:cs="Times New Roman"/>
          <w:color w:val="000000"/>
          <w:sz w:val="24"/>
          <w:szCs w:val="24"/>
          <w:lang w:eastAsia="hr-HR"/>
        </w:rPr>
        <w:t>planu nabave</w:t>
      </w:r>
      <w:r w:rsidRPr="00BD23D5">
        <w:rPr>
          <w:rFonts w:ascii="Times New Roman" w:hAnsi="Times New Roman" w:cs="Times New Roman"/>
          <w:color w:val="000000"/>
          <w:sz w:val="24"/>
          <w:szCs w:val="24"/>
          <w:lang w:eastAsia="hr-HR"/>
        </w:rPr>
        <w:t xml:space="preserve"> naznačena kupnja viš</w:t>
      </w:r>
      <w:r w:rsidR="00320951">
        <w:rPr>
          <w:rFonts w:ascii="Times New Roman" w:hAnsi="Times New Roman" w:cs="Times New Roman"/>
          <w:color w:val="000000"/>
          <w:sz w:val="24"/>
          <w:szCs w:val="24"/>
          <w:lang w:eastAsia="hr-HR"/>
        </w:rPr>
        <w:t xml:space="preserve">e komada nove </w:t>
      </w:r>
      <w:r w:rsidRPr="00BD23D5">
        <w:rPr>
          <w:rFonts w:ascii="Times New Roman" w:hAnsi="Times New Roman" w:cs="Times New Roman"/>
          <w:color w:val="000000"/>
          <w:sz w:val="24"/>
          <w:szCs w:val="24"/>
          <w:lang w:eastAsia="hr-HR"/>
        </w:rPr>
        <w:t>opreme</w:t>
      </w:r>
      <w:r w:rsidR="00320951">
        <w:rPr>
          <w:rFonts w:ascii="Times New Roman" w:hAnsi="Times New Roman" w:cs="Times New Roman"/>
          <w:color w:val="000000"/>
          <w:sz w:val="24"/>
          <w:szCs w:val="24"/>
          <w:lang w:eastAsia="hr-HR"/>
        </w:rPr>
        <w:t>,</w:t>
      </w:r>
      <w:r w:rsidRPr="00BD23D5">
        <w:rPr>
          <w:rFonts w:ascii="Times New Roman" w:hAnsi="Times New Roman" w:cs="Times New Roman"/>
          <w:color w:val="000000"/>
          <w:sz w:val="24"/>
          <w:szCs w:val="24"/>
          <w:lang w:eastAsia="hr-HR"/>
        </w:rPr>
        <w:t xml:space="preserve"> za izračun uvjeta </w:t>
      </w:r>
      <w:r w:rsidRPr="00BD23D5">
        <w:rPr>
          <w:rFonts w:ascii="Times New Roman" w:hAnsi="Times New Roman" w:cs="Times New Roman"/>
          <w:i/>
          <w:color w:val="000000"/>
          <w:sz w:val="24"/>
          <w:szCs w:val="24"/>
          <w:lang w:eastAsia="hr-HR"/>
        </w:rPr>
        <w:t xml:space="preserve">„Najmanje 10% a najviše 30% aktivnosti prikazanih u </w:t>
      </w:r>
      <w:r w:rsidR="00015A21">
        <w:rPr>
          <w:rFonts w:ascii="Times New Roman" w:hAnsi="Times New Roman" w:cs="Times New Roman"/>
          <w:i/>
          <w:color w:val="000000"/>
          <w:sz w:val="24"/>
          <w:szCs w:val="24"/>
          <w:lang w:eastAsia="hr-HR"/>
        </w:rPr>
        <w:t>planu nabave</w:t>
      </w:r>
      <w:r w:rsidRPr="00BD23D5">
        <w:rPr>
          <w:rFonts w:ascii="Times New Roman" w:hAnsi="Times New Roman" w:cs="Times New Roman"/>
          <w:i/>
          <w:color w:val="000000"/>
          <w:sz w:val="24"/>
          <w:szCs w:val="24"/>
          <w:lang w:eastAsia="hr-HR"/>
        </w:rPr>
        <w:t xml:space="preserve"> moraju se odnositi na obnovljive izvore i/ili uštedu energije“, </w:t>
      </w:r>
      <w:r w:rsidRPr="00BD23D5">
        <w:rPr>
          <w:rFonts w:ascii="Times New Roman" w:hAnsi="Times New Roman" w:cs="Times New Roman"/>
          <w:color w:val="000000"/>
          <w:sz w:val="24"/>
          <w:szCs w:val="24"/>
          <w:lang w:eastAsia="hr-HR"/>
        </w:rPr>
        <w:t>uzimaju se vrijednosti sve navedene nove opreme</w:t>
      </w:r>
      <w:r w:rsidR="00320951">
        <w:rPr>
          <w:rFonts w:ascii="Times New Roman" w:hAnsi="Times New Roman" w:cs="Times New Roman"/>
          <w:color w:val="000000"/>
          <w:sz w:val="24"/>
          <w:szCs w:val="24"/>
          <w:lang w:eastAsia="hr-HR"/>
        </w:rPr>
        <w:t>.</w:t>
      </w:r>
    </w:p>
    <w:p w14:paraId="1A5DD9B7" w14:textId="77777777" w:rsidR="00254584" w:rsidRPr="00BD23D5" w:rsidRDefault="00254584" w:rsidP="00254584">
      <w:pPr>
        <w:jc w:val="both"/>
        <w:rPr>
          <w:rFonts w:ascii="Times New Roman" w:hAnsi="Times New Roman" w:cs="Times New Roman"/>
          <w:sz w:val="24"/>
          <w:szCs w:val="24"/>
        </w:rPr>
      </w:pPr>
    </w:p>
    <w:p w14:paraId="1D760CC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4</w:t>
      </w:r>
      <w:r w:rsidRPr="00BD23D5">
        <w:rPr>
          <w:rFonts w:ascii="Times New Roman" w:hAnsi="Times New Roman" w:cs="Times New Roman"/>
          <w:b/>
          <w:sz w:val="24"/>
          <w:szCs w:val="24"/>
          <w:u w:val="single"/>
        </w:rPr>
        <w:t>: Ulaganje se obavlja u području jednog sektora</w:t>
      </w:r>
    </w:p>
    <w:p w14:paraId="54D5438D"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Sektori:</w:t>
      </w:r>
      <w:r w:rsidR="006C2CC8">
        <w:rPr>
          <w:rFonts w:ascii="Times New Roman" w:hAnsi="Times New Roman" w:cs="Times New Roman"/>
          <w:sz w:val="24"/>
          <w:szCs w:val="24"/>
        </w:rPr>
        <w:t xml:space="preserve"> voća, povrća, ljekovitog bilja, stočarstva</w:t>
      </w:r>
    </w:p>
    <w:p w14:paraId="2F7D0CEC" w14:textId="6E9922CB" w:rsidR="0069507E"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Da  bi korisnik ostvario bodove po ovom kriteriju ukupan zbroj vrijednosti ekonomske veličine  prioritetnih sektora mora iznositi minimalno 50 % ukupne vrijednosti gospodarstva iskazane u SO potvrdi. </w:t>
      </w:r>
    </w:p>
    <w:p w14:paraId="03D8BA1D" w14:textId="2C68A176" w:rsidR="00D953ED" w:rsidRDefault="00D953ED" w:rsidP="00254584">
      <w:pPr>
        <w:jc w:val="both"/>
        <w:rPr>
          <w:rFonts w:ascii="Times New Roman" w:hAnsi="Times New Roman" w:cs="Times New Roman"/>
          <w:sz w:val="24"/>
          <w:szCs w:val="24"/>
        </w:rPr>
      </w:pPr>
    </w:p>
    <w:p w14:paraId="4506E4D0" w14:textId="77777777" w:rsidR="00D953ED" w:rsidRDefault="00D953ED" w:rsidP="00254584">
      <w:pPr>
        <w:jc w:val="both"/>
        <w:rPr>
          <w:rFonts w:ascii="Times New Roman" w:hAnsi="Times New Roman" w:cs="Times New Roman"/>
          <w:sz w:val="24"/>
          <w:szCs w:val="24"/>
        </w:rPr>
      </w:pPr>
    </w:p>
    <w:p w14:paraId="701B650E" w14:textId="12039BCF"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lastRenderedPageBreak/>
        <w:t xml:space="preserve">Kriterij </w:t>
      </w:r>
      <w:r w:rsidR="00BE7F6A">
        <w:rPr>
          <w:rFonts w:ascii="Times New Roman" w:hAnsi="Times New Roman" w:cs="Times New Roman"/>
          <w:b/>
          <w:sz w:val="24"/>
          <w:szCs w:val="24"/>
          <w:u w:val="single"/>
        </w:rPr>
        <w:t>5</w:t>
      </w:r>
      <w:r w:rsidRPr="00BD23D5">
        <w:rPr>
          <w:rFonts w:ascii="Times New Roman" w:hAnsi="Times New Roman" w:cs="Times New Roman"/>
          <w:b/>
          <w:sz w:val="24"/>
          <w:szCs w:val="24"/>
          <w:u w:val="single"/>
        </w:rPr>
        <w:t>: Eko-proizvodnja</w:t>
      </w:r>
    </w:p>
    <w:p w14:paraId="6600C411" w14:textId="77777777" w:rsidR="00E126E6"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w:t>
      </w:r>
      <w:r w:rsidR="00E126E6">
        <w:rPr>
          <w:rFonts w:ascii="Times New Roman" w:hAnsi="Times New Roman" w:cs="Times New Roman"/>
          <w:sz w:val="24"/>
          <w:szCs w:val="24"/>
        </w:rPr>
        <w:t>:</w:t>
      </w:r>
    </w:p>
    <w:p w14:paraId="466EB54A" w14:textId="77777777" w:rsid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R</w:t>
      </w:r>
      <w:r w:rsidR="00254584" w:rsidRPr="00E126E6">
        <w:rPr>
          <w:rFonts w:ascii="Times New Roman" w:hAnsi="Times New Roman" w:cs="Times New Roman"/>
          <w:sz w:val="24"/>
          <w:szCs w:val="24"/>
        </w:rPr>
        <w:t>egistriran kao ekološki proizvođač</w:t>
      </w:r>
      <w:r w:rsidR="00E126E6" w:rsidRPr="00E126E6">
        <w:rPr>
          <w:rFonts w:ascii="Times New Roman" w:hAnsi="Times New Roman" w:cs="Times New Roman"/>
          <w:sz w:val="24"/>
          <w:szCs w:val="24"/>
        </w:rPr>
        <w:t xml:space="preserve"> </w:t>
      </w:r>
      <w:r>
        <w:rPr>
          <w:rFonts w:ascii="Times New Roman" w:hAnsi="Times New Roman" w:cs="Times New Roman"/>
          <w:sz w:val="24"/>
          <w:szCs w:val="24"/>
        </w:rPr>
        <w:t>i/ili,</w:t>
      </w:r>
    </w:p>
    <w:p w14:paraId="202DAE0D" w14:textId="77777777" w:rsidR="00254584" w:rsidRDefault="00254584" w:rsidP="00E126E6">
      <w:pPr>
        <w:pStyle w:val="Odlomakpopisa"/>
        <w:numPr>
          <w:ilvl w:val="0"/>
          <w:numId w:val="5"/>
        </w:numPr>
        <w:jc w:val="both"/>
        <w:rPr>
          <w:rFonts w:ascii="Times New Roman" w:hAnsi="Times New Roman" w:cs="Times New Roman"/>
          <w:sz w:val="24"/>
          <w:szCs w:val="24"/>
        </w:rPr>
      </w:pPr>
      <w:r w:rsidRPr="00E126E6">
        <w:rPr>
          <w:rFonts w:ascii="Times New Roman" w:hAnsi="Times New Roman" w:cs="Times New Roman"/>
          <w:sz w:val="24"/>
          <w:szCs w:val="24"/>
        </w:rPr>
        <w:t>u prijelaznom razdoblju za ekološku proizvodnju</w:t>
      </w:r>
      <w:r w:rsidR="00E126E6" w:rsidRPr="00E126E6">
        <w:rPr>
          <w:rFonts w:ascii="Times New Roman" w:hAnsi="Times New Roman" w:cs="Times New Roman"/>
          <w:sz w:val="24"/>
          <w:szCs w:val="24"/>
        </w:rPr>
        <w:t xml:space="preserve"> </w:t>
      </w:r>
      <w:r w:rsidR="00521963">
        <w:rPr>
          <w:rFonts w:ascii="Times New Roman" w:hAnsi="Times New Roman" w:cs="Times New Roman"/>
          <w:sz w:val="24"/>
          <w:szCs w:val="24"/>
        </w:rPr>
        <w:t>i/ili</w:t>
      </w:r>
    </w:p>
    <w:p w14:paraId="137AFE38" w14:textId="77777777" w:rsidR="00E126E6" w:rsidRP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u trenutku podnošenja Zahtjeva za isplatu zadnje/konačne rate korisnik mora biti evidentiran u nadležnom Upisniku</w:t>
      </w:r>
      <w:r w:rsidR="00785895">
        <w:rPr>
          <w:rFonts w:ascii="Times New Roman" w:hAnsi="Times New Roman" w:cs="Times New Roman"/>
          <w:sz w:val="24"/>
          <w:szCs w:val="24"/>
        </w:rPr>
        <w:t xml:space="preserve"> ekoloških proizvođača</w:t>
      </w:r>
      <w:r>
        <w:rPr>
          <w:rFonts w:ascii="Times New Roman" w:hAnsi="Times New Roman" w:cs="Times New Roman"/>
          <w:sz w:val="24"/>
          <w:szCs w:val="24"/>
        </w:rPr>
        <w:t>.</w:t>
      </w:r>
    </w:p>
    <w:p w14:paraId="7077677C" w14:textId="77777777" w:rsidR="00E126E6" w:rsidRDefault="00B470D4" w:rsidP="00254584">
      <w:pPr>
        <w:jc w:val="both"/>
        <w:rPr>
          <w:rFonts w:ascii="Times New Roman" w:hAnsi="Times New Roman" w:cs="Times New Roman"/>
          <w:sz w:val="24"/>
          <w:szCs w:val="24"/>
        </w:rPr>
      </w:pPr>
      <w:r>
        <w:rPr>
          <w:rFonts w:ascii="Times New Roman" w:hAnsi="Times New Roman" w:cs="Times New Roman"/>
          <w:sz w:val="24"/>
          <w:szCs w:val="24"/>
        </w:rPr>
        <w:t xml:space="preserve">Korisnici registrirani kao ekološki proizvođači i korisnici u prijelaznom razdoblju prilikom prijave na natječaj </w:t>
      </w:r>
      <w:r w:rsidRPr="00737B07">
        <w:rPr>
          <w:rFonts w:ascii="Times New Roman" w:hAnsi="Times New Roman" w:cs="Times New Roman"/>
          <w:sz w:val="24"/>
          <w:szCs w:val="24"/>
          <w:u w:val="single"/>
        </w:rPr>
        <w:t>obavezni su priložiti dokaz evidencije u nadležni Upisnik</w:t>
      </w:r>
      <w:r w:rsidR="00785895" w:rsidRPr="00737B07">
        <w:rPr>
          <w:rFonts w:ascii="Times New Roman" w:hAnsi="Times New Roman" w:cs="Times New Roman"/>
          <w:sz w:val="24"/>
          <w:szCs w:val="24"/>
          <w:u w:val="single"/>
        </w:rPr>
        <w:t xml:space="preserve"> ekoloških proizvođača</w:t>
      </w:r>
      <w:r w:rsidR="004C4CA2" w:rsidRPr="00737B07">
        <w:rPr>
          <w:rFonts w:ascii="Times New Roman" w:hAnsi="Times New Roman" w:cs="Times New Roman"/>
          <w:sz w:val="24"/>
          <w:szCs w:val="24"/>
          <w:u w:val="single"/>
        </w:rPr>
        <w:t xml:space="preserve"> kao ekološki proizvođači ili korisnici u prijelaznom razdoblju</w:t>
      </w:r>
      <w:r w:rsidRPr="00737B07">
        <w:rPr>
          <w:rFonts w:ascii="Times New Roman" w:hAnsi="Times New Roman" w:cs="Times New Roman"/>
          <w:sz w:val="24"/>
          <w:szCs w:val="24"/>
          <w:u w:val="single"/>
        </w:rPr>
        <w:t>.</w:t>
      </w:r>
    </w:p>
    <w:p w14:paraId="2FC9E247" w14:textId="77777777" w:rsidR="00B470D4" w:rsidRDefault="00B470D4" w:rsidP="00254584">
      <w:pPr>
        <w:jc w:val="both"/>
        <w:rPr>
          <w:rFonts w:ascii="Times New Roman" w:hAnsi="Times New Roman" w:cs="Times New Roman"/>
          <w:sz w:val="24"/>
          <w:szCs w:val="24"/>
        </w:rPr>
      </w:pPr>
    </w:p>
    <w:p w14:paraId="6EFA9CB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6</w:t>
      </w:r>
      <w:r w:rsidRPr="00BD23D5">
        <w:rPr>
          <w:rFonts w:ascii="Times New Roman" w:hAnsi="Times New Roman" w:cs="Times New Roman"/>
          <w:b/>
          <w:sz w:val="24"/>
          <w:szCs w:val="24"/>
          <w:u w:val="single"/>
        </w:rPr>
        <w:t>: Inovativnost</w:t>
      </w:r>
    </w:p>
    <w:p w14:paraId="1F5B6ABB"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14:paraId="111A55CA"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Da bi </w:t>
      </w:r>
      <w:r w:rsidR="00726F13">
        <w:rPr>
          <w:rFonts w:ascii="Times New Roman" w:hAnsi="Times New Roman" w:cs="Times New Roman"/>
          <w:sz w:val="24"/>
          <w:szCs w:val="24"/>
        </w:rPr>
        <w:t xml:space="preserve">korisnik </w:t>
      </w:r>
      <w:r w:rsidRPr="00BD23D5">
        <w:rPr>
          <w:rFonts w:ascii="Times New Roman" w:hAnsi="Times New Roman" w:cs="Times New Roman"/>
          <w:sz w:val="24"/>
          <w:szCs w:val="24"/>
        </w:rPr>
        <w:t>ostvario bodove po kriteriju Inovativnost potrebno je dostaviti dokumentaciju kojom se dokazuje da se projektom uvodi novi/inovativni pristup tj. proizvod/tehničko tehnološki proces, tj. novo inovativno rješenje.</w:t>
      </w:r>
    </w:p>
    <w:p w14:paraId="3A59CF4B"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14:paraId="227250D5"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14:paraId="1693B407"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14:paraId="3B6E304F"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14:paraId="0D401048"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14:paraId="6DBD5BDE"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14:paraId="147A38F4"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w:t>
      </w:r>
      <w:proofErr w:type="spellStart"/>
      <w:r w:rsidRPr="00BD23D5">
        <w:rPr>
          <w:rFonts w:ascii="Times New Roman" w:hAnsi="Times New Roman" w:cs="Times New Roman"/>
          <w:sz w:val="24"/>
          <w:szCs w:val="24"/>
        </w:rPr>
        <w:t>informatizira</w:t>
      </w:r>
      <w:proofErr w:type="spellEnd"/>
      <w:r w:rsidRPr="00BD23D5">
        <w:rPr>
          <w:rFonts w:ascii="Times New Roman" w:hAnsi="Times New Roman" w:cs="Times New Roman"/>
          <w:sz w:val="24"/>
          <w:szCs w:val="24"/>
        </w:rPr>
        <w:t xml:space="preserve">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14:paraId="2FE7B24C"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14:paraId="66AFD64A"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je u projektnoj prijavi navedeno kako će se projektnim aktivnostima ostvariti jedno ili više inovativnih rješenja korisnik može ostvariti maksimalna 5 boda. Za ostvarenje bodova iz kriterija Inovativnost mora dostaviti za navedeno inovativno rješenje jedan od prethodno navedenih dokaza.</w:t>
      </w:r>
    </w:p>
    <w:p w14:paraId="1CA17435" w14:textId="37AEF42E" w:rsidR="00254584" w:rsidRPr="00CE6E92"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 xml:space="preserve">Ukoliko u projektnoj prijavi nije navedeno kako će provedba projektnih aktivnosti rezultirati inovativnim rješenjem ili rješenjima, odnosno ukoliko je u projektnoj prijavi navedeno kako neće rezultirati inovativnim rješenjem ili rješenjima korisnik dobiva 0 bodova. </w:t>
      </w:r>
    </w:p>
    <w:p w14:paraId="78F3DA69"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7</w:t>
      </w:r>
      <w:r w:rsidRPr="00BD23D5">
        <w:rPr>
          <w:rFonts w:ascii="Times New Roman" w:hAnsi="Times New Roman" w:cs="Times New Roman"/>
          <w:b/>
          <w:sz w:val="24"/>
          <w:szCs w:val="24"/>
          <w:u w:val="single"/>
        </w:rPr>
        <w:t>: Razvoj usluga za različite skupine korisnika</w:t>
      </w:r>
    </w:p>
    <w:p w14:paraId="3E0EF817" w14:textId="42526088"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ukoliko</w:t>
      </w:r>
      <w:r w:rsidR="000D0ED2">
        <w:rPr>
          <w:rFonts w:ascii="Times New Roman" w:hAnsi="Times New Roman" w:cs="Times New Roman"/>
          <w:sz w:val="24"/>
          <w:szCs w:val="24"/>
        </w:rPr>
        <w:t xml:space="preserve"> će</w:t>
      </w:r>
      <w:r w:rsidRPr="00BD23D5">
        <w:rPr>
          <w:rFonts w:ascii="Times New Roman" w:hAnsi="Times New Roman" w:cs="Times New Roman"/>
          <w:sz w:val="24"/>
          <w:szCs w:val="24"/>
        </w:rPr>
        <w:t xml:space="preserve"> se, tijekom prijavljivanja na natječaj, u njegovom </w:t>
      </w:r>
      <w:r w:rsidR="000D0ED2">
        <w:rPr>
          <w:rFonts w:ascii="Times New Roman" w:hAnsi="Times New Roman" w:cs="Times New Roman"/>
          <w:sz w:val="24"/>
          <w:szCs w:val="24"/>
        </w:rPr>
        <w:t>mjestu ulaganja razviti dodatni sadržaj</w:t>
      </w:r>
      <w:r w:rsidRPr="00BD23D5">
        <w:rPr>
          <w:rFonts w:ascii="Times New Roman" w:hAnsi="Times New Roman" w:cs="Times New Roman"/>
          <w:sz w:val="24"/>
          <w:szCs w:val="24"/>
        </w:rPr>
        <w:t xml:space="preserve"> za ciljane skupine korisnika navedene u tablici kriterija bodovanja projekata.</w:t>
      </w:r>
    </w:p>
    <w:p w14:paraId="5F504D44" w14:textId="77777777"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8</w:t>
      </w:r>
      <w:r w:rsidRPr="00BD23D5">
        <w:rPr>
          <w:rFonts w:ascii="Times New Roman" w:hAnsi="Times New Roman" w:cs="Times New Roman"/>
          <w:b/>
          <w:sz w:val="24"/>
          <w:szCs w:val="24"/>
          <w:u w:val="single"/>
        </w:rPr>
        <w:t>: Opća kvaliteta prijave</w:t>
      </w:r>
    </w:p>
    <w:p w14:paraId="26B10B69" w14:textId="77777777"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p w14:paraId="710F8F96" w14:textId="77777777" w:rsidR="00AC446E" w:rsidRPr="00254584" w:rsidRDefault="00AC446E" w:rsidP="00254584">
      <w:pPr>
        <w:jc w:val="both"/>
        <w:rPr>
          <w:b/>
        </w:rPr>
      </w:pPr>
    </w:p>
    <w:sectPr w:rsidR="00AC446E" w:rsidRPr="002545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37454"/>
    <w:multiLevelType w:val="hybridMultilevel"/>
    <w:tmpl w:val="7E4A4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6CC0DFA"/>
    <w:multiLevelType w:val="hybridMultilevel"/>
    <w:tmpl w:val="0ACC8A5C"/>
    <w:lvl w:ilvl="0" w:tplc="E4CA961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5935596"/>
    <w:multiLevelType w:val="hybridMultilevel"/>
    <w:tmpl w:val="8E3C0DAC"/>
    <w:lvl w:ilvl="0" w:tplc="FC6085B6">
      <w:start w:val="1"/>
      <w:numFmt w:val="lowerLetter"/>
      <w:lvlText w:val="%1)"/>
      <w:lvlJc w:val="left"/>
      <w:pPr>
        <w:ind w:left="502" w:hanging="360"/>
      </w:pPr>
      <w:rPr>
        <w:rFonts w:ascii="Times New Roman" w:eastAsiaTheme="minorHAnsi" w:hAnsi="Times New Roman" w:cs="Times New Roman" w:hint="default"/>
        <w:sz w:val="24"/>
        <w:szCs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4DB44679"/>
    <w:multiLevelType w:val="hybridMultilevel"/>
    <w:tmpl w:val="3EB4E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num w:numId="1" w16cid:durableId="977883018">
    <w:abstractNumId w:val="4"/>
  </w:num>
  <w:num w:numId="2" w16cid:durableId="905804545">
    <w:abstractNumId w:val="1"/>
  </w:num>
  <w:num w:numId="3" w16cid:durableId="1326401620">
    <w:abstractNumId w:val="2"/>
  </w:num>
  <w:num w:numId="4" w16cid:durableId="119079339">
    <w:abstractNumId w:val="5"/>
  </w:num>
  <w:num w:numId="5" w16cid:durableId="521743896">
    <w:abstractNumId w:val="0"/>
  </w:num>
  <w:num w:numId="6" w16cid:durableId="128401014">
    <w:abstractNumId w:val="6"/>
  </w:num>
  <w:num w:numId="7" w16cid:durableId="7068353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9D"/>
    <w:rsid w:val="00015A21"/>
    <w:rsid w:val="000A41E5"/>
    <w:rsid w:val="000B2D46"/>
    <w:rsid w:val="000D0ED2"/>
    <w:rsid w:val="00254584"/>
    <w:rsid w:val="0028644D"/>
    <w:rsid w:val="00302CED"/>
    <w:rsid w:val="00320951"/>
    <w:rsid w:val="00333244"/>
    <w:rsid w:val="003658BA"/>
    <w:rsid w:val="003A25B9"/>
    <w:rsid w:val="00440413"/>
    <w:rsid w:val="004536FF"/>
    <w:rsid w:val="004C4CA2"/>
    <w:rsid w:val="00521963"/>
    <w:rsid w:val="00536D3C"/>
    <w:rsid w:val="00553043"/>
    <w:rsid w:val="00554890"/>
    <w:rsid w:val="00581088"/>
    <w:rsid w:val="005F1D38"/>
    <w:rsid w:val="00643744"/>
    <w:rsid w:val="0069507E"/>
    <w:rsid w:val="006C2CC8"/>
    <w:rsid w:val="00712AF5"/>
    <w:rsid w:val="00726F13"/>
    <w:rsid w:val="00737B07"/>
    <w:rsid w:val="00741E1C"/>
    <w:rsid w:val="00785895"/>
    <w:rsid w:val="007B7DCD"/>
    <w:rsid w:val="0081476A"/>
    <w:rsid w:val="00820436"/>
    <w:rsid w:val="00877C99"/>
    <w:rsid w:val="00935032"/>
    <w:rsid w:val="00A35B9D"/>
    <w:rsid w:val="00A81813"/>
    <w:rsid w:val="00AC446E"/>
    <w:rsid w:val="00B06394"/>
    <w:rsid w:val="00B2032D"/>
    <w:rsid w:val="00B470D4"/>
    <w:rsid w:val="00B508FB"/>
    <w:rsid w:val="00B74805"/>
    <w:rsid w:val="00BE25E4"/>
    <w:rsid w:val="00BE7F6A"/>
    <w:rsid w:val="00C46FC3"/>
    <w:rsid w:val="00CE6E92"/>
    <w:rsid w:val="00D87F08"/>
    <w:rsid w:val="00D953ED"/>
    <w:rsid w:val="00E126E6"/>
    <w:rsid w:val="00E97367"/>
    <w:rsid w:val="00F8105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4CAC2"/>
  <w15:chartTrackingRefBased/>
  <w15:docId w15:val="{DE12653C-5FC6-440B-9197-A25565D6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
    <w:name w:val="Body"/>
    <w:rsid w:val="00741E1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Calibri" w:eastAsia="Times New Roman" w:hAnsi="Calibri" w:cs="Calibri"/>
      <w:color w:val="000000"/>
      <w:u w:color="000000"/>
      <w:lang w:eastAsia="hr-HR"/>
    </w:rPr>
  </w:style>
  <w:style w:type="table" w:customStyle="1" w:styleId="Tamnatablicareetke5-isticanje13">
    <w:name w:val="Tamna tablica rešetke 5 - isticanje 13"/>
    <w:basedOn w:val="Obinatablica"/>
    <w:uiPriority w:val="50"/>
    <w:rsid w:val="00741E1C"/>
    <w:pPr>
      <w:spacing w:after="0" w:line="240" w:lineRule="auto"/>
    </w:pPr>
    <w:rPr>
      <w:rFonts w:eastAsiaTheme="minorEastAsia"/>
      <w:sz w:val="20"/>
      <w:szCs w:val="20"/>
      <w:lang w:eastAsia="hr-H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Odlomakpopisa">
    <w:name w:val="List Paragraph"/>
    <w:basedOn w:val="Normal"/>
    <w:link w:val="OdlomakpopisaChar"/>
    <w:qFormat/>
    <w:rsid w:val="00877C99"/>
    <w:pPr>
      <w:ind w:left="720"/>
      <w:contextualSpacing/>
    </w:pPr>
  </w:style>
  <w:style w:type="table" w:styleId="Reetkatablice">
    <w:name w:val="Table Grid"/>
    <w:basedOn w:val="Obinatablica"/>
    <w:uiPriority w:val="39"/>
    <w:rsid w:val="004404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48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lomakpopisaChar">
    <w:name w:val="Odlomak popisa Char"/>
    <w:link w:val="Odlomakpopisa"/>
    <w:locked/>
    <w:rsid w:val="00A81813"/>
  </w:style>
  <w:style w:type="paragraph" w:customStyle="1" w:styleId="t-9-8">
    <w:name w:val="t-9-8"/>
    <w:basedOn w:val="Normal"/>
    <w:rsid w:val="00A81813"/>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ListParagraph1">
    <w:name w:val="List Paragraph1"/>
    <w:basedOn w:val="Zaglavlje"/>
    <w:next w:val="Normal"/>
    <w:qFormat/>
    <w:rsid w:val="00A81813"/>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styleId="Zaglavlje">
    <w:name w:val="header"/>
    <w:basedOn w:val="Normal"/>
    <w:link w:val="ZaglavljeChar"/>
    <w:uiPriority w:val="99"/>
    <w:semiHidden/>
    <w:unhideWhenUsed/>
    <w:rsid w:val="00A81813"/>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A81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6</Pages>
  <Words>2161</Words>
  <Characters>12322</Characters>
  <Application>Microsoft Office Word</Application>
  <DocSecurity>0</DocSecurity>
  <Lines>102</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Ivana</cp:lastModifiedBy>
  <cp:revision>44</cp:revision>
  <dcterms:created xsi:type="dcterms:W3CDTF">2018-05-14T07:36:00Z</dcterms:created>
  <dcterms:modified xsi:type="dcterms:W3CDTF">2022-10-06T12:54:00Z</dcterms:modified>
</cp:coreProperties>
</file>